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E0CADA6" w14:textId="77777777" w:rsidR="00F25146" w:rsidRPr="001F1529" w:rsidRDefault="00F25146" w:rsidP="00D54C69">
      <w:pPr>
        <w:tabs>
          <w:tab w:val="left" w:pos="-284"/>
        </w:tabs>
        <w:ind w:hanging="284"/>
        <w:jc w:val="both"/>
        <w:rPr>
          <w:rFonts w:eastAsia="Red Hat Display"/>
        </w:rPr>
      </w:pPr>
      <w:bookmarkStart w:id="0" w:name="_Hlk113199019"/>
      <w:bookmarkStart w:id="1" w:name="_GoBack"/>
      <w:bookmarkEnd w:id="1"/>
    </w:p>
    <w:p w14:paraId="7A555385" w14:textId="6D21EBAD" w:rsidR="0081552D" w:rsidRPr="00F712F2" w:rsidRDefault="0081552D" w:rsidP="00D54C69">
      <w:pPr>
        <w:pStyle w:val="Sinespaciado"/>
        <w:jc w:val="both"/>
        <w:rPr>
          <w:bCs/>
          <w:lang w:val="es-ES_tradnl" w:eastAsia="es-CO"/>
        </w:rPr>
      </w:pPr>
      <w:r w:rsidRPr="00F712F2">
        <w:rPr>
          <w:bCs/>
          <w:lang w:val="es-ES_tradnl" w:eastAsia="es-CO"/>
        </w:rPr>
        <w:t xml:space="preserve">Bogotá D.C., </w:t>
      </w:r>
      <w:r w:rsidR="000B65EB" w:rsidRPr="00F712F2">
        <w:rPr>
          <w:bCs/>
          <w:lang w:val="es-ES_tradnl" w:eastAsia="es-CO"/>
        </w:rPr>
        <w:t>mayo 15</w:t>
      </w:r>
      <w:r w:rsidR="00956DC6" w:rsidRPr="00F712F2">
        <w:rPr>
          <w:bCs/>
          <w:lang w:val="es-ES_tradnl" w:eastAsia="es-CO"/>
        </w:rPr>
        <w:t xml:space="preserve"> </w:t>
      </w:r>
      <w:r w:rsidRPr="00F712F2">
        <w:rPr>
          <w:bCs/>
          <w:lang w:val="es-ES_tradnl" w:eastAsia="es-CO"/>
        </w:rPr>
        <w:t>de 202</w:t>
      </w:r>
      <w:r w:rsidR="000B65EB" w:rsidRPr="00F712F2">
        <w:rPr>
          <w:bCs/>
          <w:lang w:val="es-ES_tradnl" w:eastAsia="es-CO"/>
        </w:rPr>
        <w:t>5</w:t>
      </w:r>
    </w:p>
    <w:p w14:paraId="522BFB94" w14:textId="77777777" w:rsidR="0081552D" w:rsidRPr="00F712F2" w:rsidRDefault="0081552D" w:rsidP="00D54C69">
      <w:pPr>
        <w:pStyle w:val="Sinespaciado"/>
        <w:jc w:val="both"/>
        <w:rPr>
          <w:lang w:eastAsia="es-MX"/>
        </w:rPr>
      </w:pPr>
    </w:p>
    <w:p w14:paraId="7C5F2C56" w14:textId="77777777" w:rsidR="0081552D" w:rsidRPr="00F712F2" w:rsidRDefault="0081552D" w:rsidP="00D54C69">
      <w:pPr>
        <w:pStyle w:val="Sinespaciado"/>
        <w:jc w:val="both"/>
        <w:rPr>
          <w:lang w:eastAsia="es-MX"/>
        </w:rPr>
      </w:pPr>
    </w:p>
    <w:p w14:paraId="6A34DBB2" w14:textId="1C6D76CB" w:rsidR="0081552D" w:rsidRPr="00F712F2" w:rsidRDefault="0081552D" w:rsidP="00D54C69">
      <w:pPr>
        <w:pStyle w:val="Sinespaciado"/>
        <w:jc w:val="both"/>
        <w:rPr>
          <w:lang w:eastAsia="es-MX"/>
        </w:rPr>
      </w:pPr>
      <w:r w:rsidRPr="00F712F2">
        <w:rPr>
          <w:lang w:eastAsia="es-MX"/>
        </w:rPr>
        <w:t>Doctor</w:t>
      </w:r>
      <w:r w:rsidR="000B65EB" w:rsidRPr="00F712F2">
        <w:rPr>
          <w:lang w:eastAsia="es-MX"/>
        </w:rPr>
        <w:t>a</w:t>
      </w:r>
      <w:r w:rsidRPr="00F712F2">
        <w:rPr>
          <w:lang w:eastAsia="es-MX"/>
        </w:rPr>
        <w:t>:</w:t>
      </w:r>
    </w:p>
    <w:p w14:paraId="4BC40006" w14:textId="2D3BCF55" w:rsidR="000B65EB" w:rsidRPr="00F712F2" w:rsidRDefault="000B65EB" w:rsidP="00D54C69">
      <w:pPr>
        <w:pStyle w:val="Sinespaciado"/>
        <w:jc w:val="both"/>
        <w:rPr>
          <w:b/>
          <w:lang w:eastAsia="es-MX"/>
        </w:rPr>
      </w:pPr>
      <w:r w:rsidRPr="00F712F2">
        <w:rPr>
          <w:b/>
          <w:lang w:eastAsia="es-MX"/>
        </w:rPr>
        <w:t>ANA PAOLA GARCIA SOTO</w:t>
      </w:r>
    </w:p>
    <w:p w14:paraId="6D09D23D" w14:textId="2C5007FD" w:rsidR="000B65EB" w:rsidRPr="00F712F2" w:rsidRDefault="000B65EB" w:rsidP="00D54C69">
      <w:pPr>
        <w:pStyle w:val="Sinespaciado"/>
        <w:jc w:val="both"/>
        <w:rPr>
          <w:lang w:eastAsia="es-MX"/>
        </w:rPr>
      </w:pPr>
      <w:r w:rsidRPr="00F712F2">
        <w:rPr>
          <w:lang w:eastAsia="es-MX"/>
        </w:rPr>
        <w:t>Presidente Comision Primera</w:t>
      </w:r>
    </w:p>
    <w:p w14:paraId="289F58B9" w14:textId="2227D457" w:rsidR="0081552D" w:rsidRPr="00F712F2" w:rsidRDefault="0081552D" w:rsidP="00D54C69">
      <w:pPr>
        <w:pStyle w:val="Sinespaciado"/>
        <w:jc w:val="both"/>
        <w:rPr>
          <w:lang w:eastAsia="es-MX"/>
        </w:rPr>
      </w:pPr>
      <w:r w:rsidRPr="00F712F2">
        <w:rPr>
          <w:lang w:eastAsia="es-MX"/>
        </w:rPr>
        <w:t>Cámara de Representantes</w:t>
      </w:r>
    </w:p>
    <w:p w14:paraId="2A87D886" w14:textId="77777777" w:rsidR="0081552D" w:rsidRPr="00F712F2" w:rsidRDefault="0081552D" w:rsidP="00D54C69">
      <w:pPr>
        <w:pStyle w:val="Sinespaciado"/>
        <w:jc w:val="both"/>
        <w:rPr>
          <w:lang w:eastAsia="es-MX"/>
        </w:rPr>
      </w:pPr>
      <w:r w:rsidRPr="00F712F2">
        <w:rPr>
          <w:lang w:eastAsia="es-MX"/>
        </w:rPr>
        <w:t>E.                    S.                     D.</w:t>
      </w:r>
    </w:p>
    <w:p w14:paraId="2D1C3590" w14:textId="5987D8DF" w:rsidR="0081552D" w:rsidRPr="00F712F2" w:rsidRDefault="0081552D" w:rsidP="00D54C69">
      <w:pPr>
        <w:pStyle w:val="Sinespaciado"/>
        <w:jc w:val="both"/>
        <w:rPr>
          <w:rFonts w:eastAsia="Century Gothic"/>
          <w:b/>
          <w:bCs/>
          <w:lang w:val="es-ES_tradnl"/>
        </w:rPr>
      </w:pPr>
    </w:p>
    <w:p w14:paraId="4B97C192" w14:textId="77777777" w:rsidR="00F2383F" w:rsidRPr="00F712F2" w:rsidRDefault="00F2383F" w:rsidP="00D54C69">
      <w:pPr>
        <w:pStyle w:val="Sinespaciado"/>
        <w:jc w:val="both"/>
        <w:rPr>
          <w:rFonts w:eastAsia="Century Gothic"/>
          <w:b/>
          <w:bCs/>
          <w:lang w:val="es-ES_tradnl"/>
        </w:rPr>
      </w:pPr>
    </w:p>
    <w:p w14:paraId="218D4E7D" w14:textId="77556D78" w:rsidR="00876927" w:rsidRPr="00F712F2" w:rsidRDefault="00876927" w:rsidP="00876927">
      <w:pPr>
        <w:jc w:val="both"/>
        <w:rPr>
          <w:bCs/>
          <w:lang w:val="es-ES_tradnl" w:eastAsia="es-CO"/>
        </w:rPr>
      </w:pPr>
      <w:bookmarkStart w:id="2" w:name="_Hlk129815790"/>
      <w:r w:rsidRPr="00F712F2">
        <w:rPr>
          <w:bCs/>
          <w:lang w:val="es-ES_tradnl" w:eastAsia="es-CO"/>
        </w:rPr>
        <w:t xml:space="preserve">Informe de Ponencia Positiva para Primer Debate al Proyecto de </w:t>
      </w:r>
      <w:r w:rsidR="000B65EB" w:rsidRPr="00F712F2">
        <w:rPr>
          <w:bCs/>
          <w:lang w:val="es-ES_tradnl" w:eastAsia="es-CO"/>
        </w:rPr>
        <w:t xml:space="preserve">Ley N° 585 de 2025 C </w:t>
      </w:r>
      <w:r w:rsidR="000B65EB" w:rsidRPr="00F712F2">
        <w:rPr>
          <w:b/>
          <w:bCs/>
          <w:i/>
          <w:lang w:val="es-ES_tradnl" w:eastAsia="es-CO"/>
        </w:rPr>
        <w:t>“Por medio del cual se crea el delito de "Ingreso de elementos prohibidos a establecimientos de reclusión"</w:t>
      </w:r>
    </w:p>
    <w:p w14:paraId="51DB7103" w14:textId="5ABEFFE9" w:rsidR="00876927" w:rsidRPr="00F712F2" w:rsidRDefault="00876927" w:rsidP="00876927">
      <w:pPr>
        <w:pStyle w:val="Sinespaciado"/>
        <w:ind w:left="1410" w:hanging="1410"/>
        <w:jc w:val="both"/>
        <w:rPr>
          <w:b/>
          <w:lang w:val="es-ES_tradnl" w:eastAsia="es-CO"/>
        </w:rPr>
      </w:pPr>
    </w:p>
    <w:p w14:paraId="6A8B65EA" w14:textId="77777777" w:rsidR="00876927" w:rsidRPr="00F712F2" w:rsidRDefault="00876927" w:rsidP="00876927">
      <w:pPr>
        <w:spacing w:before="28" w:after="28"/>
        <w:jc w:val="both"/>
        <w:rPr>
          <w:i/>
        </w:rPr>
      </w:pPr>
    </w:p>
    <w:p w14:paraId="00D1BC72" w14:textId="77777777" w:rsidR="00876927" w:rsidRPr="00F712F2" w:rsidRDefault="00876927" w:rsidP="00876927">
      <w:pPr>
        <w:pStyle w:val="Sinespaciado"/>
        <w:jc w:val="both"/>
      </w:pPr>
      <w:r w:rsidRPr="00F712F2">
        <w:t>Respetado presidente:</w:t>
      </w:r>
    </w:p>
    <w:p w14:paraId="09370D40" w14:textId="77777777" w:rsidR="00876927" w:rsidRPr="00F712F2" w:rsidRDefault="00876927" w:rsidP="00876927">
      <w:pPr>
        <w:pStyle w:val="Sinespaciado"/>
        <w:jc w:val="both"/>
      </w:pPr>
    </w:p>
    <w:p w14:paraId="4C95FE2A" w14:textId="50796ABD" w:rsidR="00876927" w:rsidRPr="00F712F2" w:rsidRDefault="00876927" w:rsidP="00876927">
      <w:pPr>
        <w:jc w:val="both"/>
        <w:rPr>
          <w:bCs/>
          <w:lang w:val="es-ES_tradnl" w:eastAsia="es-CO"/>
        </w:rPr>
      </w:pPr>
      <w:r w:rsidRPr="00F712F2">
        <w:t xml:space="preserve">De conformidad con lo establecido en el reglamento del Congreso de la República, Ley 5ª de 1992 y en cumplimiento de la designación realizada por la Mesa </w:t>
      </w:r>
      <w:r w:rsidR="000B65EB" w:rsidRPr="00F712F2">
        <w:t xml:space="preserve">Directiva de la Comisión Primera </w:t>
      </w:r>
      <w:r w:rsidRPr="00F712F2">
        <w:t>Constitucional Permanente de la Cámara de Representantes, permítame presentar a su consideración y por su digno conducto a los miembros de esta Honorable Comisión, el Informe de Ponencia Positiva para Primer Debate al Proyecto de</w:t>
      </w:r>
      <w:bookmarkStart w:id="3" w:name="_Hlk142579276"/>
      <w:r w:rsidR="000B65EB" w:rsidRPr="00F712F2">
        <w:t xml:space="preserve"> </w:t>
      </w:r>
      <w:r w:rsidR="000B65EB" w:rsidRPr="00F712F2">
        <w:rPr>
          <w:bCs/>
          <w:lang w:val="es-ES_tradnl" w:eastAsia="es-CO"/>
        </w:rPr>
        <w:t xml:space="preserve">Ley N° 585 de 2025 C </w:t>
      </w:r>
      <w:r w:rsidR="000B65EB" w:rsidRPr="00F712F2">
        <w:rPr>
          <w:b/>
          <w:bCs/>
          <w:i/>
          <w:lang w:val="es-ES_tradnl" w:eastAsia="es-CO"/>
        </w:rPr>
        <w:t>“Por medio del cual se crea el delito de "Ingreso de elementos prohibidos a establecimientos de reclusión"</w:t>
      </w:r>
    </w:p>
    <w:p w14:paraId="20040DB2" w14:textId="4F640EBB" w:rsidR="00876927" w:rsidRPr="00F712F2" w:rsidRDefault="00876927" w:rsidP="00876927">
      <w:pPr>
        <w:pStyle w:val="Sinespaciado"/>
        <w:jc w:val="both"/>
      </w:pPr>
    </w:p>
    <w:bookmarkEnd w:id="3"/>
    <w:p w14:paraId="568E228B" w14:textId="77777777" w:rsidR="00876927" w:rsidRPr="00F712F2" w:rsidRDefault="00876927" w:rsidP="00876927">
      <w:pPr>
        <w:pStyle w:val="Sinespaciado"/>
        <w:jc w:val="both"/>
      </w:pPr>
    </w:p>
    <w:p w14:paraId="4C93F6D9" w14:textId="77777777" w:rsidR="009A53CD" w:rsidRPr="00F712F2" w:rsidRDefault="009A53CD" w:rsidP="00D54C69">
      <w:pPr>
        <w:pStyle w:val="Sinespaciado"/>
        <w:jc w:val="both"/>
        <w:rPr>
          <w:lang w:eastAsia="es-MX"/>
        </w:rPr>
      </w:pPr>
    </w:p>
    <w:p w14:paraId="3A98509B" w14:textId="3DF5C5AA" w:rsidR="004B5D0E" w:rsidRPr="00F712F2" w:rsidRDefault="00876927" w:rsidP="00D54C69">
      <w:pPr>
        <w:jc w:val="both"/>
      </w:pPr>
      <w:r w:rsidRPr="00F712F2">
        <w:t>Atentamente;</w:t>
      </w:r>
    </w:p>
    <w:p w14:paraId="18ACEC2B" w14:textId="77777777" w:rsidR="00876927" w:rsidRPr="00F712F2" w:rsidRDefault="00876927" w:rsidP="00D54C69">
      <w:pPr>
        <w:jc w:val="both"/>
      </w:pPr>
    </w:p>
    <w:p w14:paraId="174A9581" w14:textId="77777777" w:rsidR="00D54C69" w:rsidRPr="00F712F2" w:rsidRDefault="00D54C69" w:rsidP="00D54C69">
      <w:pPr>
        <w:jc w:val="both"/>
      </w:pPr>
    </w:p>
    <w:bookmarkEnd w:id="2"/>
    <w:p w14:paraId="51EF4262" w14:textId="04DA1281" w:rsidR="009A53CD" w:rsidRPr="00F712F2" w:rsidRDefault="000B65EB" w:rsidP="00D54C69">
      <w:pPr>
        <w:jc w:val="both"/>
        <w:rPr>
          <w:b/>
        </w:rPr>
      </w:pPr>
      <w:r w:rsidRPr="00F712F2">
        <w:rPr>
          <w:b/>
        </w:rPr>
        <w:t>GERSEL LUIS PEREZ ALTAMIRANDA</w:t>
      </w:r>
    </w:p>
    <w:p w14:paraId="3D04A11A" w14:textId="5DF14D08" w:rsidR="000B65EB" w:rsidRPr="00F712F2" w:rsidRDefault="000B65EB" w:rsidP="00D54C69">
      <w:pPr>
        <w:jc w:val="both"/>
      </w:pPr>
      <w:r w:rsidRPr="00F712F2">
        <w:t>Representante a la Cámara</w:t>
      </w:r>
    </w:p>
    <w:p w14:paraId="0D250C31" w14:textId="531B235C" w:rsidR="000B65EB" w:rsidRPr="00F712F2" w:rsidRDefault="000B65EB" w:rsidP="00D54C69">
      <w:pPr>
        <w:jc w:val="both"/>
      </w:pPr>
      <w:r w:rsidRPr="00F712F2">
        <w:t xml:space="preserve">Departamento del Atlántico </w:t>
      </w:r>
    </w:p>
    <w:p w14:paraId="41BE6F93" w14:textId="41CB3CB5" w:rsidR="009A53CD" w:rsidRPr="00F712F2" w:rsidRDefault="009A53CD" w:rsidP="00D54C69">
      <w:pPr>
        <w:jc w:val="both"/>
        <w:rPr>
          <w:rFonts w:eastAsia="Red Hat Display"/>
        </w:rPr>
      </w:pPr>
    </w:p>
    <w:p w14:paraId="2CE4D195" w14:textId="4A6D017E" w:rsidR="009A53CD" w:rsidRPr="00F712F2" w:rsidRDefault="009A53CD" w:rsidP="00D54C69">
      <w:pPr>
        <w:jc w:val="both"/>
        <w:rPr>
          <w:rFonts w:eastAsia="Red Hat Display"/>
        </w:rPr>
      </w:pPr>
    </w:p>
    <w:p w14:paraId="730CC282" w14:textId="3D5C515B" w:rsidR="00BB4977" w:rsidRPr="00F712F2" w:rsidRDefault="00BB4977" w:rsidP="00D54C69">
      <w:pPr>
        <w:jc w:val="both"/>
        <w:rPr>
          <w:rFonts w:eastAsia="Red Hat Display"/>
        </w:rPr>
      </w:pPr>
    </w:p>
    <w:p w14:paraId="19A9E9AD" w14:textId="26764E9E" w:rsidR="00BB4977" w:rsidRPr="00F712F2" w:rsidRDefault="00BB4977" w:rsidP="00D54C69">
      <w:pPr>
        <w:jc w:val="both"/>
        <w:rPr>
          <w:rFonts w:eastAsia="Red Hat Display"/>
        </w:rPr>
      </w:pPr>
    </w:p>
    <w:p w14:paraId="23B2C2CA" w14:textId="1BE78C7D" w:rsidR="00BB4977" w:rsidRPr="00F712F2" w:rsidRDefault="00BB4977" w:rsidP="00D54C69">
      <w:pPr>
        <w:jc w:val="both"/>
        <w:rPr>
          <w:rFonts w:eastAsia="Red Hat Display"/>
        </w:rPr>
      </w:pPr>
    </w:p>
    <w:p w14:paraId="1D05475E" w14:textId="6E8F9E36" w:rsidR="00BB4977" w:rsidRPr="00F712F2" w:rsidRDefault="00BB4977" w:rsidP="00D54C69">
      <w:pPr>
        <w:jc w:val="both"/>
        <w:rPr>
          <w:rFonts w:eastAsia="Red Hat Display"/>
        </w:rPr>
      </w:pPr>
    </w:p>
    <w:p w14:paraId="16B57F3F" w14:textId="4BDF50A7" w:rsidR="00BB4977" w:rsidRPr="00F712F2" w:rsidRDefault="00BB4977" w:rsidP="00D54C69">
      <w:pPr>
        <w:jc w:val="both"/>
        <w:rPr>
          <w:rFonts w:eastAsia="Red Hat Display"/>
        </w:rPr>
      </w:pPr>
    </w:p>
    <w:p w14:paraId="5125FC6B" w14:textId="76AF07F5" w:rsidR="00BB4977" w:rsidRDefault="00BB4977" w:rsidP="00D54C69">
      <w:pPr>
        <w:jc w:val="both"/>
        <w:rPr>
          <w:rFonts w:eastAsia="Red Hat Display"/>
        </w:rPr>
      </w:pPr>
    </w:p>
    <w:p w14:paraId="33D12F8D" w14:textId="7B19FD46" w:rsidR="00F712F2" w:rsidRDefault="00F712F2" w:rsidP="00D54C69">
      <w:pPr>
        <w:jc w:val="both"/>
        <w:rPr>
          <w:rFonts w:eastAsia="Red Hat Display"/>
        </w:rPr>
      </w:pPr>
    </w:p>
    <w:p w14:paraId="2F166A74" w14:textId="09FEC015" w:rsidR="00F712F2" w:rsidRDefault="00F712F2" w:rsidP="00D54C69">
      <w:pPr>
        <w:jc w:val="both"/>
        <w:rPr>
          <w:rFonts w:eastAsia="Red Hat Display"/>
        </w:rPr>
      </w:pPr>
    </w:p>
    <w:p w14:paraId="0D1B943D" w14:textId="77777777" w:rsidR="00F712F2" w:rsidRPr="00F712F2" w:rsidRDefault="00F712F2" w:rsidP="00D54C69">
      <w:pPr>
        <w:jc w:val="both"/>
        <w:rPr>
          <w:rFonts w:eastAsia="Red Hat Display"/>
        </w:rPr>
      </w:pPr>
    </w:p>
    <w:p w14:paraId="00E866EF" w14:textId="3F121385" w:rsidR="0006206A" w:rsidRPr="00F712F2" w:rsidRDefault="0006206A" w:rsidP="00D67A43">
      <w:pPr>
        <w:pStyle w:val="Sinespaciado"/>
        <w:jc w:val="both"/>
        <w:rPr>
          <w:rFonts w:eastAsia="Red Hat Display"/>
        </w:rPr>
      </w:pPr>
    </w:p>
    <w:p w14:paraId="147515DF" w14:textId="77777777" w:rsidR="0006206A" w:rsidRPr="00F712F2" w:rsidRDefault="0006206A" w:rsidP="00D67A43">
      <w:pPr>
        <w:pStyle w:val="Sinespaciado"/>
        <w:jc w:val="both"/>
        <w:rPr>
          <w:rFonts w:eastAsia="Red Hat Display"/>
        </w:rPr>
      </w:pPr>
    </w:p>
    <w:p w14:paraId="6ED4B20B" w14:textId="6706DB4F" w:rsidR="0081552D" w:rsidRPr="00F712F2" w:rsidRDefault="0081552D" w:rsidP="00CA00C3">
      <w:pPr>
        <w:spacing w:before="240" w:after="240"/>
        <w:jc w:val="center"/>
        <w:rPr>
          <w:rFonts w:eastAsia="Times"/>
          <w:b/>
          <w:color w:val="000000" w:themeColor="text1"/>
          <w:u w:val="single"/>
        </w:rPr>
      </w:pPr>
      <w:r w:rsidRPr="00F712F2">
        <w:rPr>
          <w:rFonts w:eastAsia="Times"/>
          <w:b/>
          <w:color w:val="000000" w:themeColor="text1"/>
          <w:u w:val="single"/>
        </w:rPr>
        <w:lastRenderedPageBreak/>
        <w:t>EXPOSICIÓN DE MOTIVOS</w:t>
      </w:r>
    </w:p>
    <w:p w14:paraId="793AFFAC" w14:textId="5BAFFF07" w:rsidR="00876927" w:rsidRPr="00F712F2" w:rsidRDefault="00876927" w:rsidP="0081552D">
      <w:pPr>
        <w:pStyle w:val="Prrafodelista"/>
        <w:numPr>
          <w:ilvl w:val="0"/>
          <w:numId w:val="15"/>
        </w:numPr>
        <w:spacing w:before="240" w:after="240"/>
        <w:jc w:val="both"/>
        <w:rPr>
          <w:rFonts w:eastAsia="Times"/>
          <w:b/>
          <w:color w:val="000000" w:themeColor="text1"/>
        </w:rPr>
      </w:pPr>
      <w:r w:rsidRPr="00F712F2">
        <w:rPr>
          <w:rFonts w:eastAsia="Times"/>
          <w:b/>
          <w:color w:val="000000" w:themeColor="text1"/>
        </w:rPr>
        <w:t xml:space="preserve">TRAMITE </w:t>
      </w:r>
    </w:p>
    <w:p w14:paraId="3352CF38" w14:textId="3364FEAA" w:rsidR="00876927" w:rsidRPr="00F712F2" w:rsidRDefault="00876927" w:rsidP="000B65EB">
      <w:pPr>
        <w:spacing w:before="240" w:after="240"/>
        <w:jc w:val="both"/>
        <w:rPr>
          <w:rFonts w:eastAsia="Times"/>
          <w:color w:val="000000" w:themeColor="text1"/>
        </w:rPr>
      </w:pPr>
      <w:r w:rsidRPr="00F712F2">
        <w:rPr>
          <w:rFonts w:eastAsia="Times"/>
          <w:color w:val="000000" w:themeColor="text1"/>
        </w:rPr>
        <w:t>El presente pro</w:t>
      </w:r>
      <w:r w:rsidR="000B65EB" w:rsidRPr="00F712F2">
        <w:rPr>
          <w:rFonts w:eastAsia="Times"/>
          <w:color w:val="000000" w:themeColor="text1"/>
        </w:rPr>
        <w:t xml:space="preserve">yecto de ley fue radicado el 2 de abril </w:t>
      </w:r>
      <w:r w:rsidRPr="00F712F2">
        <w:rPr>
          <w:rFonts w:eastAsia="Times"/>
          <w:color w:val="000000" w:themeColor="text1"/>
        </w:rPr>
        <w:t>de</w:t>
      </w:r>
      <w:r w:rsidR="000B65EB" w:rsidRPr="00F712F2">
        <w:rPr>
          <w:rFonts w:eastAsia="Times"/>
          <w:color w:val="000000" w:themeColor="text1"/>
        </w:rPr>
        <w:t xml:space="preserve"> 2025</w:t>
      </w:r>
      <w:r w:rsidRPr="00F712F2">
        <w:rPr>
          <w:rFonts w:eastAsia="Times"/>
          <w:color w:val="000000" w:themeColor="text1"/>
        </w:rPr>
        <w:t>, en la secretaria General de la Honorable Camara de Representantes</w:t>
      </w:r>
      <w:r w:rsidR="000B65EB" w:rsidRPr="00F712F2">
        <w:rPr>
          <w:rFonts w:eastAsia="Times"/>
          <w:color w:val="000000" w:themeColor="text1"/>
        </w:rPr>
        <w:t>, de autoría de la HR.</w:t>
      </w:r>
      <w:r w:rsidRPr="00F712F2">
        <w:rPr>
          <w:rFonts w:eastAsia="Times"/>
          <w:color w:val="000000" w:themeColor="text1"/>
        </w:rPr>
        <w:t xml:space="preserve"> </w:t>
      </w:r>
      <w:r w:rsidR="000B65EB" w:rsidRPr="00F712F2">
        <w:rPr>
          <w:rFonts w:eastAsia="Times"/>
          <w:color w:val="000000" w:themeColor="text1"/>
        </w:rPr>
        <w:t xml:space="preserve">Luz Ayda Pastrana Loaiza, </w:t>
      </w:r>
      <w:r w:rsidRPr="00F712F2">
        <w:rPr>
          <w:rFonts w:eastAsia="Times"/>
          <w:color w:val="000000" w:themeColor="text1"/>
        </w:rPr>
        <w:t xml:space="preserve">publicado en la Gaceta N° </w:t>
      </w:r>
      <w:r w:rsidR="000B65EB" w:rsidRPr="00F712F2">
        <w:rPr>
          <w:rFonts w:eastAsia="Times"/>
          <w:color w:val="000000" w:themeColor="text1"/>
        </w:rPr>
        <w:t>463 de 2025</w:t>
      </w:r>
      <w:r w:rsidRPr="00F712F2">
        <w:rPr>
          <w:rFonts w:eastAsia="Times"/>
          <w:color w:val="000000" w:themeColor="text1"/>
        </w:rPr>
        <w:t>.</w:t>
      </w:r>
      <w:r w:rsidR="000B65EB" w:rsidRPr="00F712F2">
        <w:rPr>
          <w:rFonts w:eastAsia="Times"/>
          <w:color w:val="000000" w:themeColor="text1"/>
        </w:rPr>
        <w:t xml:space="preserve"> </w:t>
      </w:r>
      <w:r w:rsidRPr="00F712F2">
        <w:rPr>
          <w:rFonts w:eastAsia="Times"/>
          <w:color w:val="000000" w:themeColor="text1"/>
        </w:rPr>
        <w:t xml:space="preserve">Mediante el oficio </w:t>
      </w:r>
      <w:r w:rsidR="000B65EB" w:rsidRPr="00F712F2">
        <w:rPr>
          <w:rFonts w:eastAsia="Times"/>
          <w:color w:val="000000" w:themeColor="text1"/>
        </w:rPr>
        <w:t>C.P.C.P 3.1 -1212 - 2025 fui notificado</w:t>
      </w:r>
      <w:r w:rsidR="00B2662A" w:rsidRPr="00F712F2">
        <w:rPr>
          <w:rFonts w:eastAsia="Times"/>
          <w:color w:val="000000" w:themeColor="text1"/>
        </w:rPr>
        <w:t xml:space="preserve"> de m</w:t>
      </w:r>
      <w:r w:rsidR="000B65EB" w:rsidRPr="00F712F2">
        <w:rPr>
          <w:rFonts w:eastAsia="Times"/>
          <w:color w:val="000000" w:themeColor="text1"/>
        </w:rPr>
        <w:t>i designación como ponente único</w:t>
      </w:r>
      <w:r w:rsidR="00B2662A" w:rsidRPr="00F712F2">
        <w:rPr>
          <w:rFonts w:eastAsia="Times"/>
          <w:color w:val="000000" w:themeColor="text1"/>
        </w:rPr>
        <w:t xml:space="preserve"> de esta </w:t>
      </w:r>
      <w:r w:rsidR="000B65EB" w:rsidRPr="00F712F2">
        <w:rPr>
          <w:rFonts w:eastAsia="Times"/>
          <w:color w:val="000000" w:themeColor="text1"/>
        </w:rPr>
        <w:t>iniciativa,</w:t>
      </w:r>
      <w:r w:rsidR="00B2662A" w:rsidRPr="00F712F2">
        <w:rPr>
          <w:rFonts w:eastAsia="Times"/>
          <w:color w:val="000000" w:themeColor="text1"/>
        </w:rPr>
        <w:t xml:space="preserve"> por tanto, procedo de la siguiente manera:</w:t>
      </w:r>
    </w:p>
    <w:p w14:paraId="0AE458AF" w14:textId="77777777" w:rsidR="00876927" w:rsidRPr="00F712F2" w:rsidRDefault="00876927" w:rsidP="00876927">
      <w:pPr>
        <w:pStyle w:val="Prrafodelista"/>
        <w:numPr>
          <w:ilvl w:val="0"/>
          <w:numId w:val="15"/>
        </w:numPr>
        <w:spacing w:before="240" w:after="240"/>
        <w:jc w:val="both"/>
        <w:rPr>
          <w:rFonts w:eastAsia="Times"/>
          <w:b/>
          <w:color w:val="000000" w:themeColor="text1"/>
        </w:rPr>
      </w:pPr>
      <w:r w:rsidRPr="00F712F2">
        <w:rPr>
          <w:rFonts w:eastAsia="Times"/>
          <w:b/>
          <w:color w:val="000000" w:themeColor="text1"/>
        </w:rPr>
        <w:t>OBJETO DEL PROYECTO DE LEY</w:t>
      </w:r>
    </w:p>
    <w:p w14:paraId="446C8E6D" w14:textId="547A6725" w:rsidR="00876927" w:rsidRPr="00F712F2" w:rsidRDefault="00876927" w:rsidP="00876927">
      <w:pPr>
        <w:pStyle w:val="Prrafodelista"/>
        <w:spacing w:before="240" w:after="240"/>
        <w:ind w:left="1080"/>
        <w:jc w:val="both"/>
        <w:rPr>
          <w:rFonts w:eastAsia="Times"/>
          <w:b/>
          <w:color w:val="000000" w:themeColor="text1"/>
        </w:rPr>
      </w:pPr>
    </w:p>
    <w:p w14:paraId="76D3CF3A" w14:textId="41BAAA5E" w:rsidR="000B65EB" w:rsidRPr="00F712F2" w:rsidRDefault="000B65EB" w:rsidP="000B65EB">
      <w:pPr>
        <w:pStyle w:val="Prrafodelista"/>
        <w:spacing w:before="240" w:after="240"/>
        <w:ind w:left="0"/>
        <w:jc w:val="both"/>
        <w:rPr>
          <w:rFonts w:eastAsia="Times"/>
          <w:color w:val="000000" w:themeColor="text1"/>
        </w:rPr>
      </w:pPr>
      <w:r w:rsidRPr="00F712F2">
        <w:rPr>
          <w:rFonts w:eastAsia="Times"/>
          <w:color w:val="000000" w:themeColor="text1"/>
        </w:rPr>
        <w:t>El presente Proyecto de Ley tiene como objeto crear el delito de “Ingreso de elementos prohibidos a establecimientos penitenciarios o carcelarios” en el Código Penal colombiano, para tal efecto, se adiciona un artículo al Título XVI, “De los delitos contra la eficaz y recta impartición de justicia” de la Ley 599 de 2000, consecuencia del actuar típico, antijurídico y reprochable de quien comete la conducta, estableciendo de manera coherente y armónica unos mínimos y máximos punitivos.</w:t>
      </w:r>
    </w:p>
    <w:p w14:paraId="3126B429" w14:textId="77777777" w:rsidR="000B65EB" w:rsidRPr="00F712F2" w:rsidRDefault="000B65EB" w:rsidP="000B65EB">
      <w:pPr>
        <w:pStyle w:val="Prrafodelista"/>
        <w:spacing w:before="240" w:after="240"/>
        <w:ind w:left="0"/>
        <w:jc w:val="both"/>
        <w:rPr>
          <w:rFonts w:eastAsia="Times"/>
          <w:color w:val="000000" w:themeColor="text1"/>
        </w:rPr>
      </w:pPr>
    </w:p>
    <w:p w14:paraId="70BF3D3D" w14:textId="60A91166" w:rsidR="0081552D" w:rsidRPr="00F712F2" w:rsidRDefault="000B65EB" w:rsidP="000B65EB">
      <w:pPr>
        <w:pStyle w:val="Prrafodelista"/>
        <w:numPr>
          <w:ilvl w:val="0"/>
          <w:numId w:val="15"/>
        </w:numPr>
        <w:spacing w:before="240" w:after="240"/>
        <w:jc w:val="both"/>
        <w:rPr>
          <w:rFonts w:eastAsia="Times"/>
          <w:b/>
          <w:color w:val="000000" w:themeColor="text1"/>
        </w:rPr>
      </w:pPr>
      <w:r w:rsidRPr="00F712F2">
        <w:rPr>
          <w:rFonts w:eastAsia="Times"/>
          <w:b/>
          <w:color w:val="000000" w:themeColor="text1"/>
        </w:rPr>
        <w:t xml:space="preserve">JUSTIFICACIÓN </w:t>
      </w:r>
    </w:p>
    <w:p w14:paraId="5E933388" w14:textId="705DA96B" w:rsidR="000B65EB" w:rsidRPr="00F712F2" w:rsidRDefault="000B65EB" w:rsidP="000B65EB">
      <w:pPr>
        <w:spacing w:before="240" w:after="240"/>
        <w:jc w:val="both"/>
        <w:rPr>
          <w:rFonts w:eastAsia="Times"/>
          <w:bCs/>
          <w:color w:val="000000" w:themeColor="text1"/>
        </w:rPr>
      </w:pPr>
      <w:r w:rsidRPr="00F712F2">
        <w:rPr>
          <w:rFonts w:eastAsia="Times"/>
          <w:bCs/>
          <w:color w:val="000000" w:themeColor="text1"/>
        </w:rPr>
        <w:t>La introducción o ingreso de elementos prohibidos en los establecimientos de reclusión de Colombia, tales como: celulares, drogas, armas y otros, representa una problemática que incide negativamente en el proceso de resocialización de los privados de la libertad y afecta la seguridad y el orden de la comunidad en general –víctima de la comisión de delitos, por ejemplo, a través del uso de celulares–.</w:t>
      </w:r>
    </w:p>
    <w:p w14:paraId="7D3C42E4" w14:textId="502CCA69" w:rsidR="007970EA" w:rsidRPr="00F712F2" w:rsidRDefault="000B65EB" w:rsidP="000B65EB">
      <w:pPr>
        <w:spacing w:before="240" w:after="240"/>
        <w:jc w:val="both"/>
        <w:rPr>
          <w:rFonts w:eastAsia="Times"/>
          <w:bCs/>
          <w:color w:val="000000" w:themeColor="text1"/>
        </w:rPr>
      </w:pPr>
      <w:r w:rsidRPr="00F712F2">
        <w:rPr>
          <w:rFonts w:eastAsia="Times"/>
          <w:bCs/>
          <w:color w:val="000000" w:themeColor="text1"/>
        </w:rPr>
        <w:t>Entre enero del año 2020 y octubre del 2024, se incautaron en las cárceles del país más de 176.300 celulares, 248.151 botellas de licor, 6,3 toneladas de marihuana y 1,1 toneladas de cocaína o sus derivados, cifras que resultan de notable importancia al imposibilitar el objetivo de disminuir los índices de impunidad, lo cual facilita la continuidad delictiva y se convierte en un desafío para el legislativo y para la administración de justicia, con miras a establecer medidas idóneas para combatir la corrupción al interior de los establecimientos de reclusión e imponer condenas ejemplarizantes.</w:t>
      </w:r>
    </w:p>
    <w:p w14:paraId="695EF001" w14:textId="5DA9AF6A" w:rsidR="005E53AC" w:rsidRPr="00F712F2" w:rsidRDefault="000B65EB" w:rsidP="00986683">
      <w:pPr>
        <w:jc w:val="center"/>
        <w:rPr>
          <w:rFonts w:eastAsia="Times"/>
          <w:bCs/>
          <w:color w:val="000000" w:themeColor="text1"/>
        </w:rPr>
      </w:pPr>
      <w:r w:rsidRPr="00F712F2">
        <w:rPr>
          <w:noProof/>
          <w:lang w:val="es-CO" w:eastAsia="es-CO"/>
        </w:rPr>
        <w:drawing>
          <wp:inline distT="0" distB="0" distL="0" distR="0" wp14:anchorId="6F876FD1" wp14:editId="7A610D9B">
            <wp:extent cx="4197243" cy="2266715"/>
            <wp:effectExtent l="0" t="0" r="0" b="635"/>
            <wp:docPr id="2660398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039817" name="Imagen 1"/>
                    <pic:cNvPicPr>
                      <a:picLocks noChangeAspect="1"/>
                    </pic:cNvPicPr>
                  </pic:nvPicPr>
                  <pic:blipFill>
                    <a:blip r:embed="rId8"/>
                    <a:stretch>
                      <a:fillRect/>
                    </a:stretch>
                  </pic:blipFill>
                  <pic:spPr>
                    <a:xfrm>
                      <a:off x="0" y="0"/>
                      <a:ext cx="4209520" cy="2273345"/>
                    </a:xfrm>
                    <a:prstGeom prst="rect">
                      <a:avLst/>
                    </a:prstGeom>
                  </pic:spPr>
                </pic:pic>
              </a:graphicData>
            </a:graphic>
          </wp:inline>
        </w:drawing>
      </w:r>
    </w:p>
    <w:p w14:paraId="0C34AD80" w14:textId="1E426D29" w:rsidR="00986683" w:rsidRPr="00F712F2" w:rsidRDefault="00986683" w:rsidP="00986683">
      <w:pPr>
        <w:spacing w:line="240" w:lineRule="auto"/>
        <w:jc w:val="both"/>
      </w:pPr>
      <w:bookmarkStart w:id="4" w:name="_Hlk129801070"/>
      <w:r w:rsidRPr="00F712F2">
        <w:lastRenderedPageBreak/>
        <w:t xml:space="preserve">Las dinámicas al interior de los establecimientos carcelarios han permitido evidenciar que impera el dominio del más fuerte y no necesariamente del personal de custodia, sino de las personas privadas de la libertad </w:t>
      </w:r>
      <w:r w:rsidRPr="00F712F2">
        <w:rPr>
          <w:i/>
          <w:iCs/>
        </w:rPr>
        <w:t>–en adelante PPL–</w:t>
      </w:r>
      <w:r w:rsidRPr="00F712F2">
        <w:t xml:space="preserve"> que por su condición, rol y nombre dentro de la red criminal en la que aún se encuentran vinculados como cabecillas, imponen condiciones en los patios donde son recluidos, aspecto que les facilita tener un control sobre los demás internos, sometiéndolos a amenazas, torturas o vejámenes; obligándolos e influenciándolos a hacer parte de estas estructuras delictivas desde el interior de los mismos.  Es conocido que tienen la capacidad de incidir sobre crimines en diferentes regiones y ciudades del país, que afectan la convivencia y la seguridad ciudadana, tal como sucedió con el homicidio del Director de la Cárcel la Modelo de Bogotá en el año 2024 (El tiempo, 2024).</w:t>
      </w:r>
    </w:p>
    <w:p w14:paraId="5BF0B67B" w14:textId="77777777" w:rsidR="00986683" w:rsidRPr="00F712F2" w:rsidRDefault="00986683" w:rsidP="00986683">
      <w:pPr>
        <w:spacing w:line="240" w:lineRule="auto"/>
        <w:jc w:val="both"/>
      </w:pPr>
    </w:p>
    <w:p w14:paraId="3C956241" w14:textId="77777777" w:rsidR="00986683" w:rsidRPr="00F712F2" w:rsidRDefault="00986683" w:rsidP="00986683">
      <w:pPr>
        <w:spacing w:line="240" w:lineRule="auto"/>
        <w:jc w:val="both"/>
      </w:pPr>
      <w:r w:rsidRPr="00F712F2">
        <w:t>El Ministerio de Justicia declaró una emergencia carcelaria en el año 2024, con ocasión de las acciones violentas contra el personal de guardia del INPEC, en especial, debido al aumento significativo de los incidentes de seguridad y violencia respecto el personal de custodia en comparación con el año anterior, que involucra: homicidios, atentados y amenazas directas en contra de funcionarios (Minjusticia, 2024).</w:t>
      </w:r>
    </w:p>
    <w:p w14:paraId="49E71BB9" w14:textId="77777777" w:rsidR="00986683" w:rsidRPr="00F712F2" w:rsidRDefault="00986683" w:rsidP="00986683">
      <w:pPr>
        <w:spacing w:line="240" w:lineRule="auto"/>
        <w:jc w:val="both"/>
      </w:pPr>
    </w:p>
    <w:p w14:paraId="69F049AE" w14:textId="732761B0" w:rsidR="00986683" w:rsidRPr="00F712F2" w:rsidRDefault="00986683" w:rsidP="00F712F2">
      <w:pPr>
        <w:spacing w:line="240" w:lineRule="auto"/>
        <w:jc w:val="both"/>
      </w:pPr>
      <w:r w:rsidRPr="00F712F2">
        <w:t xml:space="preserve">Según cifras del INPEC, entre el año 2023 y noviembre de 2024 se presentaron 409 amenazas contra funcionarios de esa entidad, de las cuales, en 2024 se materializaron 22 atentados y 11 homicidios de personal de custodia y vigilancia (INPEC, 2024), además del homicidio del Director de la cárcel La Modelo de Bogotá. </w:t>
      </w:r>
    </w:p>
    <w:p w14:paraId="5FBDA8ED" w14:textId="290C5867" w:rsidR="00986683" w:rsidRPr="00F712F2" w:rsidRDefault="00986683" w:rsidP="00986683">
      <w:pPr>
        <w:spacing w:line="240" w:lineRule="auto"/>
        <w:jc w:val="center"/>
      </w:pPr>
      <w:r w:rsidRPr="00F712F2">
        <w:rPr>
          <w:noProof/>
          <w:lang w:val="es-CO" w:eastAsia="es-CO"/>
        </w:rPr>
        <w:drawing>
          <wp:inline distT="0" distB="0" distL="0" distR="0" wp14:anchorId="34A68129" wp14:editId="14330A43">
            <wp:extent cx="4581498" cy="2042880"/>
            <wp:effectExtent l="0" t="0" r="0" b="0"/>
            <wp:docPr id="176226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2616" name="Imagen 1"/>
                    <pic:cNvPicPr>
                      <a:picLocks noChangeAspect="1"/>
                    </pic:cNvPicPr>
                  </pic:nvPicPr>
                  <pic:blipFill>
                    <a:blip r:embed="rId9"/>
                    <a:srcRect t="20723"/>
                    <a:stretch>
                      <a:fillRect/>
                    </a:stretch>
                  </pic:blipFill>
                  <pic:spPr>
                    <a:xfrm>
                      <a:off x="0" y="0"/>
                      <a:ext cx="4592758" cy="2047901"/>
                    </a:xfrm>
                    <a:prstGeom prst="rect">
                      <a:avLst/>
                    </a:prstGeom>
                    <a:ln>
                      <a:noFill/>
                    </a:ln>
                  </pic:spPr>
                </pic:pic>
              </a:graphicData>
            </a:graphic>
          </wp:inline>
        </w:drawing>
      </w:r>
    </w:p>
    <w:p w14:paraId="1C3BAFDE" w14:textId="272CABD6" w:rsidR="00986683" w:rsidRPr="00F712F2" w:rsidRDefault="00986683" w:rsidP="00986683">
      <w:pPr>
        <w:spacing w:line="240" w:lineRule="auto"/>
      </w:pPr>
    </w:p>
    <w:p w14:paraId="0A067440" w14:textId="77777777" w:rsidR="00986683" w:rsidRPr="00F712F2" w:rsidRDefault="00986683" w:rsidP="00986683">
      <w:pPr>
        <w:spacing w:line="240" w:lineRule="auto"/>
        <w:jc w:val="both"/>
      </w:pPr>
      <w:r w:rsidRPr="00F712F2">
        <w:t xml:space="preserve">Incluso, en la actualidad, se encuentra en vigencia la </w:t>
      </w:r>
      <w:r w:rsidRPr="00F712F2">
        <w:rPr>
          <w:i/>
          <w:iCs/>
        </w:rPr>
        <w:t>“Alerta Temprana No. 014-2024, DE INMINENCIA”</w:t>
      </w:r>
      <w:r w:rsidRPr="00F712F2">
        <w:t xml:space="preserve"> de la Defensoría del Pueblo, en virtud de la cual, se pone en conocimiento el riesgo a la integridad de los servidores públicos vinculados a los establecimientos carcelarios en algunas regiones del país (Defensoría del Pueblo, 2024).</w:t>
      </w:r>
    </w:p>
    <w:p w14:paraId="40E4EAB1" w14:textId="42CCCF2E" w:rsidR="00986683" w:rsidRPr="00F712F2" w:rsidRDefault="00986683" w:rsidP="00CA00C3">
      <w:pPr>
        <w:pStyle w:val="Normal0"/>
        <w:pBdr>
          <w:top w:val="nil"/>
          <w:left w:val="nil"/>
          <w:bottom w:val="nil"/>
          <w:right w:val="nil"/>
          <w:between w:val="nil"/>
        </w:pBdr>
        <w:ind w:left="360"/>
        <w:rPr>
          <w:rFonts w:eastAsia="Times New Roman"/>
          <w:b/>
          <w:bCs/>
          <w:iCs/>
        </w:rPr>
      </w:pPr>
    </w:p>
    <w:p w14:paraId="04317D9F" w14:textId="0F80DB19" w:rsidR="00986683" w:rsidRDefault="00986683" w:rsidP="002D5626">
      <w:pPr>
        <w:pStyle w:val="Prrafodelista"/>
        <w:numPr>
          <w:ilvl w:val="0"/>
          <w:numId w:val="31"/>
        </w:numPr>
        <w:spacing w:line="240" w:lineRule="auto"/>
        <w:jc w:val="both"/>
        <w:rPr>
          <w:b/>
          <w:bCs/>
        </w:rPr>
      </w:pPr>
      <w:r w:rsidRPr="002D5626">
        <w:rPr>
          <w:b/>
          <w:bCs/>
        </w:rPr>
        <w:t>Impacto en la Seguridad y el Orden</w:t>
      </w:r>
    </w:p>
    <w:p w14:paraId="5D620FF1" w14:textId="77777777" w:rsidR="002D5626" w:rsidRPr="002D5626" w:rsidRDefault="002D5626" w:rsidP="002D5626">
      <w:pPr>
        <w:pStyle w:val="Prrafodelista"/>
        <w:spacing w:line="240" w:lineRule="auto"/>
        <w:ind w:left="1080"/>
        <w:jc w:val="both"/>
        <w:rPr>
          <w:b/>
          <w:bCs/>
        </w:rPr>
      </w:pPr>
    </w:p>
    <w:p w14:paraId="79AD0284" w14:textId="77777777" w:rsidR="00986683" w:rsidRPr="00F712F2" w:rsidRDefault="00986683" w:rsidP="00986683">
      <w:pPr>
        <w:spacing w:line="240" w:lineRule="auto"/>
        <w:jc w:val="both"/>
      </w:pPr>
      <w:r w:rsidRPr="00F712F2">
        <w:t>El ingreso de objetos prohibidos compromete gravemente la seguridad interna de los establecimientos de reclusión del país, tanto a nivel de violencia interna como al facilitar el direccionamiento de organizaciones criminales o la comisión de nuevos delitos por parte de las PPL al interior de estos establecimientos. Según reporte del Director General del INPEC, en solo un operativo en cuatro (4) establecimientos se logró la incautación o decomiso de 9.600 celulares, así como armas cortopunzantes, licor, estupefacientes y hasta pólvora. Estos elementos facilitan actividades delictivas como extorsiones, coordinaciones de crímenes externos y violencia entre internos.</w:t>
      </w:r>
    </w:p>
    <w:p w14:paraId="7D468646" w14:textId="77777777" w:rsidR="00986683" w:rsidRPr="00F712F2" w:rsidRDefault="00986683" w:rsidP="00986683">
      <w:pPr>
        <w:spacing w:line="240" w:lineRule="auto"/>
        <w:jc w:val="both"/>
      </w:pPr>
    </w:p>
    <w:p w14:paraId="159A233E" w14:textId="77777777" w:rsidR="00986683" w:rsidRPr="00F712F2" w:rsidRDefault="00986683" w:rsidP="00986683">
      <w:pPr>
        <w:spacing w:line="240" w:lineRule="auto"/>
        <w:jc w:val="both"/>
      </w:pPr>
      <w:r w:rsidRPr="00F712F2">
        <w:lastRenderedPageBreak/>
        <w:t>En materia de seguridad y justicia en Colombia, uno de los principales problemas radica en la dificultad que se tiene desde el sistema penitenciario de impedir la continuidad y participación de las PPL en nuevas conductas delictivas e incluso en el direccionamiento de organizaciones criminales en las ciudades desde los establecimientos de reclusión. Lo anterior, en tanto las estrategias y acciones que se despliegan para contener la criminalidad en los territorios, resultan infructuosas y dispersas, ya que los delincuentes consideran que es más fácil delinquir desde el interior de los establecimientos (Giraldo y Medina, 2025).</w:t>
      </w:r>
    </w:p>
    <w:p w14:paraId="5546C615" w14:textId="77777777" w:rsidR="00986683" w:rsidRPr="00F712F2" w:rsidRDefault="00986683" w:rsidP="00986683">
      <w:pPr>
        <w:spacing w:line="240" w:lineRule="auto"/>
        <w:jc w:val="both"/>
      </w:pPr>
    </w:p>
    <w:p w14:paraId="1729F530" w14:textId="77777777" w:rsidR="00986683" w:rsidRPr="00F712F2" w:rsidRDefault="00986683" w:rsidP="00986683">
      <w:pPr>
        <w:spacing w:line="240" w:lineRule="auto"/>
        <w:jc w:val="both"/>
      </w:pPr>
      <w:r w:rsidRPr="00F712F2">
        <w:t xml:space="preserve">De acuerdo con las cifras del INPEC, entre enero de 2020 y octubre de 2024, fueron incautados más de 176.300 equipos de telefonía móvil en la entrada y al interior de los establecimientos de reclusión. Las modalidades de ingreso de estos elementos prohibidos ocurre en las visitas familiares o conyugales, a través del ocultamiento en las partes íntimas o genitales, la utilización de drones, hasta mediante el uso de </w:t>
      </w:r>
      <w:r w:rsidRPr="00F712F2">
        <w:rPr>
          <w:i/>
          <w:iCs/>
        </w:rPr>
        <w:t>“palomas mensajeras”</w:t>
      </w:r>
      <w:r w:rsidRPr="00F712F2">
        <w:t>, personal asistencial de los establecimientos o incluso hechos de corrupción por el personal de vigilancia y custodia; conductas que, a la fecha, no tienen ningún tipo de sanción ejemplarizante para quienes sean sorprendidos facilitando o ingresando estos elementos (INPEC, 2024).</w:t>
      </w:r>
    </w:p>
    <w:p w14:paraId="3FAFF8F2" w14:textId="77777777" w:rsidR="00986683" w:rsidRPr="00F712F2" w:rsidRDefault="00986683" w:rsidP="00986683">
      <w:pPr>
        <w:spacing w:line="240" w:lineRule="auto"/>
        <w:jc w:val="both"/>
      </w:pPr>
    </w:p>
    <w:p w14:paraId="5CEE32D4" w14:textId="439B05A8" w:rsidR="00986683" w:rsidRPr="00F712F2" w:rsidRDefault="00986683" w:rsidP="00986683">
      <w:pPr>
        <w:spacing w:line="240" w:lineRule="auto"/>
        <w:jc w:val="center"/>
      </w:pPr>
      <w:r w:rsidRPr="00F712F2">
        <w:rPr>
          <w:noProof/>
          <w:lang w:val="es-CO" w:eastAsia="es-CO"/>
        </w:rPr>
        <w:drawing>
          <wp:inline distT="0" distB="0" distL="0" distR="0" wp14:anchorId="2D03571A" wp14:editId="77459611">
            <wp:extent cx="4301391" cy="2419350"/>
            <wp:effectExtent l="0" t="0" r="4445" b="0"/>
            <wp:docPr id="3334271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427110" name="Imagen 1"/>
                    <pic:cNvPicPr>
                      <a:picLocks noChangeAspect="1"/>
                    </pic:cNvPicPr>
                  </pic:nvPicPr>
                  <pic:blipFill>
                    <a:blip r:embed="rId10"/>
                    <a:stretch>
                      <a:fillRect/>
                    </a:stretch>
                  </pic:blipFill>
                  <pic:spPr>
                    <a:xfrm>
                      <a:off x="0" y="0"/>
                      <a:ext cx="4303628" cy="2420608"/>
                    </a:xfrm>
                    <a:prstGeom prst="rect">
                      <a:avLst/>
                    </a:prstGeom>
                  </pic:spPr>
                </pic:pic>
              </a:graphicData>
            </a:graphic>
          </wp:inline>
        </w:drawing>
      </w:r>
    </w:p>
    <w:p w14:paraId="2D34E50F" w14:textId="77777777" w:rsidR="00986683" w:rsidRPr="00F712F2" w:rsidRDefault="00986683" w:rsidP="00986683">
      <w:pPr>
        <w:spacing w:line="240" w:lineRule="auto"/>
        <w:jc w:val="center"/>
      </w:pPr>
    </w:p>
    <w:p w14:paraId="3920E3D4" w14:textId="2D4755B3" w:rsidR="00986683" w:rsidRPr="00F712F2" w:rsidRDefault="00986683" w:rsidP="00986683">
      <w:pPr>
        <w:spacing w:line="240" w:lineRule="auto"/>
        <w:jc w:val="both"/>
      </w:pPr>
      <w:r w:rsidRPr="00F712F2">
        <w:t>De acuerdo con Giraldo y Medina (2025) el 36% de las extorsiones en 2023 ocurrieron desde establecimiento carcelarios.</w:t>
      </w:r>
    </w:p>
    <w:p w14:paraId="24AF91FD" w14:textId="77777777" w:rsidR="00986683" w:rsidRPr="00F712F2" w:rsidRDefault="00986683" w:rsidP="00986683">
      <w:pPr>
        <w:spacing w:line="240" w:lineRule="auto"/>
        <w:jc w:val="both"/>
      </w:pPr>
    </w:p>
    <w:p w14:paraId="3DD11CAC" w14:textId="77777777" w:rsidR="00986683" w:rsidRPr="00F712F2" w:rsidRDefault="00986683" w:rsidP="00986683">
      <w:pPr>
        <w:pStyle w:val="Prrafodelista"/>
        <w:numPr>
          <w:ilvl w:val="0"/>
          <w:numId w:val="27"/>
        </w:numPr>
        <w:spacing w:after="160" w:line="240" w:lineRule="auto"/>
        <w:jc w:val="both"/>
      </w:pPr>
      <w:r w:rsidRPr="00F712F2">
        <w:t>La cifra varía dependiendo de las ciudades, por ejemplo, en Bogotá́ para el segundo semestre de 2024 fue de aproximadamente del 41%, pero en Barranquilla osciló entre el 50 y el 52%. En 2023 se presentaron 11.076 denuncias por este delito. Los establecimientos carcelarios de Bogotá́, Barranquilla y Tuluá registraron 585, 216 y 36 denuncias, respectivamente, en 2024.</w:t>
      </w:r>
    </w:p>
    <w:p w14:paraId="1A45D877" w14:textId="77777777" w:rsidR="00986683" w:rsidRPr="00F712F2" w:rsidRDefault="00986683" w:rsidP="00986683">
      <w:pPr>
        <w:pStyle w:val="Prrafodelista"/>
        <w:numPr>
          <w:ilvl w:val="0"/>
          <w:numId w:val="27"/>
        </w:numPr>
        <w:spacing w:after="160" w:line="240" w:lineRule="auto"/>
        <w:jc w:val="both"/>
      </w:pPr>
      <w:r w:rsidRPr="00F712F2">
        <w:t>Los establecimientos que registran el mayor número de extorsiones corresponden a: Picota (Bogotá), Cómbita (Boyacá), Pedregal (Medellín), Picaleña (Ibagué) y Doña Juana (La Dorada).</w:t>
      </w:r>
    </w:p>
    <w:p w14:paraId="048E08E1" w14:textId="77777777" w:rsidR="00986683" w:rsidRPr="00F712F2" w:rsidRDefault="00986683" w:rsidP="00986683">
      <w:pPr>
        <w:pStyle w:val="Prrafodelista"/>
        <w:numPr>
          <w:ilvl w:val="0"/>
          <w:numId w:val="27"/>
        </w:numPr>
        <w:spacing w:after="160" w:line="240" w:lineRule="auto"/>
        <w:jc w:val="both"/>
      </w:pPr>
      <w:r w:rsidRPr="00F712F2">
        <w:t>Las modalidades que mayor concentración de extorsiones presentan son: la suplantación de grupos armados al margen de la ley, el falso servicio y suplantación (falsa encomienda).</w:t>
      </w:r>
    </w:p>
    <w:p w14:paraId="57F74354" w14:textId="77777777" w:rsidR="00986683" w:rsidRPr="00F712F2" w:rsidRDefault="00986683" w:rsidP="00986683">
      <w:pPr>
        <w:pStyle w:val="Prrafodelista"/>
        <w:numPr>
          <w:ilvl w:val="0"/>
          <w:numId w:val="27"/>
        </w:numPr>
        <w:spacing w:after="160" w:line="240" w:lineRule="auto"/>
        <w:jc w:val="both"/>
      </w:pPr>
      <w:r w:rsidRPr="00F712F2">
        <w:t>Adicionalmente, han emergido nuevas modalidades de extorsión a través de la ciber extorsión y el ciber sexting. Estas modalidades se fortalecen con el acceso a información que reposa en determinadas bases de datos, en las cuales los delincuentes encuentran información privilegiada sobre la víctima.</w:t>
      </w:r>
    </w:p>
    <w:p w14:paraId="43DED212" w14:textId="77777777" w:rsidR="00986683" w:rsidRPr="00F712F2" w:rsidRDefault="00986683" w:rsidP="00986683">
      <w:pPr>
        <w:pStyle w:val="Prrafodelista"/>
        <w:numPr>
          <w:ilvl w:val="0"/>
          <w:numId w:val="27"/>
        </w:numPr>
        <w:spacing w:line="240" w:lineRule="auto"/>
        <w:jc w:val="both"/>
      </w:pPr>
      <w:r w:rsidRPr="00F712F2">
        <w:lastRenderedPageBreak/>
        <w:t>La extorsión se ha ampliado a todo tipo de víctimas, desde personas que demuestran cierta capacidad económica, hasta comerciantes, empleados, trabajadores independientes, agricultores e inclusive amas de casa. Las plataformas de transferencia de dinero han facilitado en los últimos años el pago de dineros, producto de la extorsión.</w:t>
      </w:r>
    </w:p>
    <w:p w14:paraId="562DCD3C" w14:textId="77777777" w:rsidR="00986683" w:rsidRPr="00F712F2" w:rsidRDefault="00986683" w:rsidP="00986683">
      <w:pPr>
        <w:spacing w:line="240" w:lineRule="auto"/>
        <w:jc w:val="both"/>
      </w:pPr>
    </w:p>
    <w:p w14:paraId="362768B0" w14:textId="77777777" w:rsidR="00986683" w:rsidRPr="00F712F2" w:rsidRDefault="00986683" w:rsidP="00986683">
      <w:pPr>
        <w:spacing w:line="240" w:lineRule="auto"/>
        <w:jc w:val="both"/>
      </w:pPr>
      <w:r w:rsidRPr="00F712F2">
        <w:t>Además de lo anterior, llama la atención que, según cifras de la Policía Nacional, las 1.634 salas de retenidos en las diferentes estaciones de policía a nivel nacional, así como las 79 Unidades de Reacción Inmediata (URI) de la Fiscalía General de la Nación, tenían más de 23.000 PPL en marzo de 2025, de los cuales 1.670 se encontraban condenadas. Lugares que presentan una situación de hacinamiento que supera el 119% y en los cuales también se presenta el ingreso de elementos prohibidos que facilitan la continuidad delictiva de los privados de la libertad.</w:t>
      </w:r>
    </w:p>
    <w:p w14:paraId="20E80560" w14:textId="77777777" w:rsidR="00986683" w:rsidRPr="00F712F2" w:rsidRDefault="00986683" w:rsidP="00986683">
      <w:pPr>
        <w:spacing w:line="360" w:lineRule="auto"/>
        <w:jc w:val="both"/>
      </w:pPr>
    </w:p>
    <w:p w14:paraId="58FAB7DF" w14:textId="160A83CB" w:rsidR="00986683" w:rsidRDefault="00986683" w:rsidP="002D5626">
      <w:pPr>
        <w:pStyle w:val="Prrafodelista"/>
        <w:numPr>
          <w:ilvl w:val="0"/>
          <w:numId w:val="30"/>
        </w:numPr>
        <w:spacing w:line="240" w:lineRule="auto"/>
        <w:jc w:val="both"/>
        <w:rPr>
          <w:b/>
          <w:bCs/>
        </w:rPr>
      </w:pPr>
      <w:r w:rsidRPr="002D5626">
        <w:rPr>
          <w:b/>
          <w:bCs/>
        </w:rPr>
        <w:t>Obstáculo para la Rehabilitación</w:t>
      </w:r>
    </w:p>
    <w:p w14:paraId="2C6EC429" w14:textId="77777777" w:rsidR="002D5626" w:rsidRPr="002D5626" w:rsidRDefault="002D5626" w:rsidP="002D5626">
      <w:pPr>
        <w:pStyle w:val="Prrafodelista"/>
        <w:spacing w:line="240" w:lineRule="auto"/>
        <w:jc w:val="both"/>
        <w:rPr>
          <w:b/>
          <w:bCs/>
        </w:rPr>
      </w:pPr>
    </w:p>
    <w:p w14:paraId="256CC639" w14:textId="77777777" w:rsidR="00986683" w:rsidRPr="00F712F2" w:rsidRDefault="00986683" w:rsidP="00986683">
      <w:pPr>
        <w:spacing w:line="240" w:lineRule="auto"/>
        <w:jc w:val="both"/>
      </w:pPr>
      <w:r w:rsidRPr="00F712F2">
        <w:t>La presencia de drogas y otros objetos ilícitos dificulta los programas de resocialización. El acceso a sustancias psicoactivas perpetúa las adicciones y desvía a los internos de actividades constructivas, que afectan el proceso de reintegración social.</w:t>
      </w:r>
    </w:p>
    <w:p w14:paraId="58FD4342" w14:textId="77777777" w:rsidR="00986683" w:rsidRPr="00F712F2" w:rsidRDefault="00986683" w:rsidP="00986683">
      <w:pPr>
        <w:spacing w:line="240" w:lineRule="auto"/>
        <w:jc w:val="both"/>
      </w:pPr>
    </w:p>
    <w:p w14:paraId="070A30EB" w14:textId="3FCFAC17" w:rsidR="00986683" w:rsidRPr="00F712F2" w:rsidRDefault="00986683" w:rsidP="00986683">
      <w:pPr>
        <w:spacing w:line="240" w:lineRule="auto"/>
        <w:jc w:val="both"/>
      </w:pPr>
      <w:r w:rsidRPr="00F712F2">
        <w:t>El principal aspecto de relevancia en cuanto al ingreso de los elementos prohibidos que les permite continuar incidiendo en la criminalidad en los territorios, se traduce en las situaciones que marcan la reincidencia de quienes ya fueron sometidos por la justicia y acogidos con una medida privativa de libertad, que, según la Corporación Excelencia en la Justicia, la tendencia en el país va en incremento, pasando del 16.4% en 2016, al 21.8% en 2023 (CEJ, 2024).</w:t>
      </w:r>
    </w:p>
    <w:p w14:paraId="78749047" w14:textId="4634F3F3" w:rsidR="00B2662A" w:rsidRPr="00F712F2" w:rsidRDefault="00B2662A" w:rsidP="00CA00C3">
      <w:pPr>
        <w:pStyle w:val="Normal0"/>
        <w:pBdr>
          <w:top w:val="nil"/>
          <w:left w:val="nil"/>
          <w:bottom w:val="nil"/>
          <w:right w:val="nil"/>
          <w:between w:val="nil"/>
        </w:pBdr>
        <w:ind w:left="360"/>
        <w:rPr>
          <w:rFonts w:eastAsia="Times New Roman"/>
          <w:b/>
          <w:bCs/>
          <w:iCs/>
        </w:rPr>
      </w:pPr>
    </w:p>
    <w:p w14:paraId="1049AC00" w14:textId="7B57F470" w:rsidR="00986683" w:rsidRPr="00F712F2" w:rsidRDefault="00986683" w:rsidP="005E53AC">
      <w:pPr>
        <w:pStyle w:val="Normal0"/>
        <w:pBdr>
          <w:top w:val="nil"/>
          <w:left w:val="nil"/>
          <w:bottom w:val="nil"/>
          <w:right w:val="nil"/>
          <w:between w:val="nil"/>
        </w:pBdr>
        <w:ind w:left="360"/>
        <w:rPr>
          <w:rFonts w:eastAsia="Times New Roman"/>
          <w:b/>
          <w:bCs/>
          <w:iCs/>
        </w:rPr>
      </w:pPr>
      <w:r w:rsidRPr="00F712F2">
        <w:rPr>
          <w:rFonts w:eastAsia="Times New Roman"/>
          <w:noProof/>
          <w:lang w:val="es-CO"/>
        </w:rPr>
        <w:drawing>
          <wp:inline distT="0" distB="0" distL="0" distR="0" wp14:anchorId="78496937" wp14:editId="32811DE1">
            <wp:extent cx="5220055" cy="2349024"/>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a:picLocks noChangeAspect="1"/>
                    </pic:cNvPicPr>
                  </pic:nvPicPr>
                  <pic:blipFill>
                    <a:blip r:embed="rId11"/>
                    <a:srcRect t="11240"/>
                    <a:stretch>
                      <a:fillRect/>
                    </a:stretch>
                  </pic:blipFill>
                  <pic:spPr>
                    <a:xfrm>
                      <a:off x="0" y="0"/>
                      <a:ext cx="5248188" cy="2361684"/>
                    </a:xfrm>
                    <a:prstGeom prst="rect">
                      <a:avLst/>
                    </a:prstGeom>
                    <a:ln>
                      <a:noFill/>
                    </a:ln>
                  </pic:spPr>
                </pic:pic>
              </a:graphicData>
            </a:graphic>
          </wp:inline>
        </w:drawing>
      </w:r>
    </w:p>
    <w:p w14:paraId="1D518103" w14:textId="5C1379E4" w:rsidR="00986683" w:rsidRPr="00F712F2" w:rsidRDefault="00986683" w:rsidP="00986683">
      <w:pPr>
        <w:shd w:val="clear" w:color="auto" w:fill="FFFFFF"/>
        <w:spacing w:line="240" w:lineRule="auto"/>
        <w:ind w:firstLine="720"/>
        <w:jc w:val="center"/>
        <w:rPr>
          <w:rFonts w:eastAsia="Times New Roman"/>
          <w:bCs/>
          <w:i/>
        </w:rPr>
      </w:pPr>
      <w:r w:rsidRPr="00F712F2">
        <w:rPr>
          <w:rFonts w:eastAsia="Times New Roman"/>
          <w:bCs/>
          <w:i/>
        </w:rPr>
        <w:t>Fuente: Exposición de Motivos proyecto de ley radicado.</w:t>
      </w:r>
    </w:p>
    <w:p w14:paraId="4140649C" w14:textId="5ACF0536" w:rsidR="00986683" w:rsidRPr="00F712F2" w:rsidRDefault="00986683" w:rsidP="00986683">
      <w:pPr>
        <w:shd w:val="clear" w:color="auto" w:fill="FFFFFF"/>
        <w:spacing w:line="240" w:lineRule="auto"/>
        <w:ind w:firstLine="720"/>
        <w:jc w:val="center"/>
        <w:rPr>
          <w:rFonts w:eastAsia="Times New Roman"/>
          <w:bCs/>
          <w:i/>
          <w:iCs/>
        </w:rPr>
      </w:pPr>
      <w:r w:rsidRPr="00F712F2">
        <w:rPr>
          <w:rFonts w:eastAsia="Times New Roman"/>
          <w:bCs/>
          <w:i/>
          <w:iCs/>
        </w:rPr>
        <w:t>Corporación Excelencia en la Justicia con cifras INPEC</w:t>
      </w:r>
    </w:p>
    <w:p w14:paraId="66C8BDB8" w14:textId="77777777" w:rsidR="00986683" w:rsidRPr="00F712F2" w:rsidRDefault="00986683" w:rsidP="00986683">
      <w:pPr>
        <w:shd w:val="clear" w:color="auto" w:fill="FFFFFF"/>
        <w:spacing w:line="240" w:lineRule="auto"/>
        <w:ind w:firstLine="720"/>
        <w:jc w:val="both"/>
        <w:rPr>
          <w:rFonts w:eastAsia="Times New Roman"/>
          <w:bCs/>
        </w:rPr>
      </w:pPr>
    </w:p>
    <w:p w14:paraId="587B3BE7" w14:textId="6431DE81" w:rsidR="002D5626" w:rsidRPr="002D5626" w:rsidRDefault="00986683" w:rsidP="002D5626">
      <w:pPr>
        <w:spacing w:line="240" w:lineRule="auto"/>
        <w:jc w:val="both"/>
      </w:pPr>
      <w:r w:rsidRPr="00F712F2">
        <w:t xml:space="preserve">Frente a esta situación, el factor problemático se centra en determinar la efectividad de las estrategias desplegadas para impedir que las PPL, puedan continuar delinquiendo desde las cárceles o que el proceso de resocialización aplicado sea efectivo para sacarlos del escenario del crimen. Al respecto, resulta importante destacar </w:t>
      </w:r>
      <w:r w:rsidR="002D5626" w:rsidRPr="00F712F2">
        <w:t>que,</w:t>
      </w:r>
      <w:r w:rsidRPr="00F712F2">
        <w:t xml:space="preserve"> en noviembre de 2024, las cifras de reincidencia en el sistema penitenciario superaron el 24% (INPEC, 2024).</w:t>
      </w:r>
    </w:p>
    <w:p w14:paraId="026D6F1B" w14:textId="77777777" w:rsidR="002D5626" w:rsidRPr="00F712F2" w:rsidRDefault="002D5626" w:rsidP="00986683">
      <w:pPr>
        <w:pStyle w:val="Normal0"/>
        <w:pBdr>
          <w:top w:val="nil"/>
          <w:left w:val="nil"/>
          <w:bottom w:val="nil"/>
          <w:right w:val="nil"/>
          <w:between w:val="nil"/>
        </w:pBdr>
        <w:rPr>
          <w:rFonts w:eastAsia="Times New Roman"/>
          <w:b/>
          <w:bCs/>
          <w:iCs/>
        </w:rPr>
      </w:pPr>
    </w:p>
    <w:p w14:paraId="6FB04EC6" w14:textId="3BB72073" w:rsidR="00986683" w:rsidRDefault="00986683" w:rsidP="002D5626">
      <w:pPr>
        <w:pStyle w:val="Prrafodelista"/>
        <w:numPr>
          <w:ilvl w:val="0"/>
          <w:numId w:val="29"/>
        </w:numPr>
        <w:spacing w:line="240" w:lineRule="auto"/>
        <w:jc w:val="both"/>
        <w:rPr>
          <w:b/>
          <w:bCs/>
        </w:rPr>
      </w:pPr>
      <w:r w:rsidRPr="002D5626">
        <w:rPr>
          <w:b/>
          <w:bCs/>
        </w:rPr>
        <w:lastRenderedPageBreak/>
        <w:t>Corrupción y complicidad Interna</w:t>
      </w:r>
    </w:p>
    <w:p w14:paraId="7B64A07C" w14:textId="77777777" w:rsidR="002D5626" w:rsidRPr="002D5626" w:rsidRDefault="002D5626" w:rsidP="002D5626">
      <w:pPr>
        <w:pStyle w:val="Prrafodelista"/>
        <w:spacing w:line="240" w:lineRule="auto"/>
        <w:jc w:val="both"/>
        <w:rPr>
          <w:b/>
          <w:bCs/>
        </w:rPr>
      </w:pPr>
    </w:p>
    <w:p w14:paraId="59CAEDFA" w14:textId="77777777" w:rsidR="00986683" w:rsidRPr="00F712F2" w:rsidRDefault="00986683" w:rsidP="00986683">
      <w:pPr>
        <w:spacing w:line="240" w:lineRule="auto"/>
        <w:jc w:val="both"/>
      </w:pPr>
      <w:r w:rsidRPr="00F712F2">
        <w:t>La introducción o ingreso de los elementos prohibidos a PPL, suele implicar la participación de personal penitenciario corrupto. En 2021, se llevó́ a cabo un operativo en 45 cárceles para investigar denuncias de corrupción relacionadas con el ingreso de objetos prohibidos, con anuencia de funcionarios del INPEC. Esta corrupción socava la integridad del sistema penitenciario y la confianza pública en las instituciones (UNODC, 2016), aunado a que dicha corrupción facilita la continuidad delictiva de los privados de la libertad (UNODC, 2010).</w:t>
      </w:r>
    </w:p>
    <w:p w14:paraId="591866F6" w14:textId="77777777" w:rsidR="00986683" w:rsidRPr="00F712F2" w:rsidRDefault="00986683" w:rsidP="00986683">
      <w:pPr>
        <w:spacing w:line="240" w:lineRule="auto"/>
        <w:jc w:val="both"/>
      </w:pPr>
    </w:p>
    <w:p w14:paraId="1832CEBA" w14:textId="77777777" w:rsidR="00986683" w:rsidRPr="00F712F2" w:rsidRDefault="00986683" w:rsidP="00986683">
      <w:pPr>
        <w:spacing w:line="240" w:lineRule="auto"/>
        <w:jc w:val="both"/>
      </w:pPr>
      <w:r w:rsidRPr="00F712F2">
        <w:t>La corrupción dentro de las cárceles permite o facilita la entrada de elementos prohibidos o no permitidos ya definidos en la Resolución 006349 de 2016 (INPEC, 2016), se destacan: el licor, estupefacientes, los teléfonos móviles y otros dispositivos de comunicación, que resultan fundamentales para la operación del crimen organizado o las redes de fraude y extorsión desde las cárceles. Esto en su gran mayoría es facilitado por el personal de custodia, a cambio del pago de sobornos, quienes en algunas ocasiones se vinculan activamente en las actividades criminales o permiten que ocurra el ingreso a cambio de estas dádivas (Passamano, 2022).</w:t>
      </w:r>
    </w:p>
    <w:p w14:paraId="70316380" w14:textId="77777777" w:rsidR="00986683" w:rsidRPr="00F712F2" w:rsidRDefault="00986683" w:rsidP="00986683">
      <w:pPr>
        <w:spacing w:line="240" w:lineRule="auto"/>
        <w:jc w:val="both"/>
      </w:pPr>
    </w:p>
    <w:p w14:paraId="31C30C9A" w14:textId="77777777" w:rsidR="00986683" w:rsidRPr="00F712F2" w:rsidRDefault="00986683" w:rsidP="00986683">
      <w:pPr>
        <w:spacing w:line="240" w:lineRule="auto"/>
        <w:jc w:val="both"/>
      </w:pPr>
      <w:r w:rsidRPr="00F712F2">
        <w:t>Según información del Director General del INPEC a través del Periódico El Espectador publicada el 17 de diciembre de 2024, para la fecha, 3.751 funcionarios se encontraban investigados, lo que corresponde a la quinta parte de toda la planta personal de esa entidad (17.129). Las cifras publicadas permiten advertir los esfuerzos que se viene adelantando, pero también evidencian lo permeada que se encuentra la institución por la corrupción y la debilidad de las herramientas existentes.</w:t>
      </w:r>
    </w:p>
    <w:p w14:paraId="22C74764" w14:textId="77777777" w:rsidR="00986683" w:rsidRPr="00F712F2" w:rsidRDefault="00986683" w:rsidP="00986683">
      <w:pPr>
        <w:spacing w:line="240" w:lineRule="auto"/>
        <w:jc w:val="both"/>
      </w:pPr>
    </w:p>
    <w:p w14:paraId="520A79D4" w14:textId="77777777" w:rsidR="00986683" w:rsidRPr="00F712F2" w:rsidRDefault="00986683" w:rsidP="00986683">
      <w:pPr>
        <w:spacing w:line="240" w:lineRule="auto"/>
        <w:jc w:val="both"/>
      </w:pPr>
      <w:r w:rsidRPr="00F712F2">
        <w:t>Asimismo, el Director informó que en 2024 se ordenaron 65 destituciones, 102 suspensiones, nueve multas, 6 amonestaciones y la apertura de un total de 551 procesos por corrupción directa. Según los datos reportados, 135 directores y exdirectores de establecimientos penitenciarios tenían investigaciones. Cifra que llama la atención, teniendo en cuenta que el INPEC está a cargo de 125 cárceles.</w:t>
      </w:r>
    </w:p>
    <w:p w14:paraId="76F0A430" w14:textId="77777777" w:rsidR="00986683" w:rsidRPr="00F712F2" w:rsidRDefault="00986683" w:rsidP="00986683">
      <w:pPr>
        <w:spacing w:line="240" w:lineRule="auto"/>
        <w:jc w:val="both"/>
      </w:pPr>
    </w:p>
    <w:p w14:paraId="08D7AE0B" w14:textId="066848A4" w:rsidR="00986683" w:rsidRDefault="00986683" w:rsidP="00986683">
      <w:pPr>
        <w:spacing w:line="240" w:lineRule="auto"/>
        <w:jc w:val="both"/>
      </w:pPr>
      <w:r w:rsidRPr="00F712F2">
        <w:t>Asimismo, referenció que en el año 2024 se asignaron fiscales destacados para investigar la corrupción desde las cárceles, dando como resultado la captura de 98 funcionarios, 36 de ellos en flagrancia. Al tiempo, indicó que el ente investigador tiene abiertos 72 expedientes relacionados con delitos de corrupción.</w:t>
      </w:r>
    </w:p>
    <w:p w14:paraId="69B76B3B" w14:textId="77777777" w:rsidR="002D5626" w:rsidRPr="00F712F2" w:rsidRDefault="002D5626" w:rsidP="00986683">
      <w:pPr>
        <w:spacing w:line="240" w:lineRule="auto"/>
        <w:jc w:val="both"/>
      </w:pPr>
    </w:p>
    <w:p w14:paraId="003DD4D1" w14:textId="613D238D" w:rsidR="002D5626" w:rsidRDefault="002D5626" w:rsidP="002D5626">
      <w:pPr>
        <w:pStyle w:val="Prrafodelista"/>
        <w:numPr>
          <w:ilvl w:val="0"/>
          <w:numId w:val="29"/>
        </w:numPr>
        <w:spacing w:line="240" w:lineRule="auto"/>
        <w:jc w:val="both"/>
        <w:rPr>
          <w:b/>
          <w:bCs/>
        </w:rPr>
      </w:pPr>
      <w:r w:rsidRPr="002D5626">
        <w:rPr>
          <w:b/>
          <w:bCs/>
        </w:rPr>
        <w:t>Estadísticas Relevantes</w:t>
      </w:r>
    </w:p>
    <w:p w14:paraId="0189C9D1" w14:textId="77777777" w:rsidR="002D5626" w:rsidRPr="002D5626" w:rsidRDefault="002D5626" w:rsidP="002D5626">
      <w:pPr>
        <w:pStyle w:val="Prrafodelista"/>
        <w:spacing w:line="240" w:lineRule="auto"/>
        <w:jc w:val="both"/>
        <w:rPr>
          <w:b/>
          <w:bCs/>
        </w:rPr>
      </w:pPr>
    </w:p>
    <w:p w14:paraId="5F1A09ED" w14:textId="77777777" w:rsidR="002D5626" w:rsidRPr="00F712F2" w:rsidRDefault="002D5626" w:rsidP="002D5626">
      <w:pPr>
        <w:spacing w:line="240" w:lineRule="auto"/>
        <w:jc w:val="both"/>
      </w:pPr>
      <w:r w:rsidRPr="00F712F2">
        <w:t>En los 32 departamentos del país, se encuentran ubicados 125 establecimientos de reclusión que dependen del INPEC, distribuidos en 6 regionales, así: Regional Central (38), Regional Noroeste (19), Regional Norte (13), Regional Oriente (14), Regional Occidental (22) y Regional Viejo Caldas (19) (INPEC, 2024).</w:t>
      </w:r>
    </w:p>
    <w:p w14:paraId="04FBA531" w14:textId="77777777" w:rsidR="002D5626" w:rsidRPr="00F712F2" w:rsidRDefault="002D5626" w:rsidP="002D5626">
      <w:pPr>
        <w:spacing w:line="240" w:lineRule="auto"/>
        <w:jc w:val="both"/>
      </w:pPr>
    </w:p>
    <w:p w14:paraId="44FCED5E" w14:textId="77777777" w:rsidR="002D5626" w:rsidRPr="00F712F2" w:rsidRDefault="002D5626" w:rsidP="002D5626">
      <w:pPr>
        <w:spacing w:line="240" w:lineRule="auto"/>
        <w:jc w:val="both"/>
      </w:pPr>
      <w:r w:rsidRPr="00F712F2">
        <w:t>Adicionalmente, según cifras de la Policía Nacional existen 1.634 salas de retenidos en las diferentes estaciones de Policía a nivel nacional, así como 79 URI de la Fiscalía General de la Nación, en las cuales, también se presenta la problemática de la comisión delictiva de las PPL desde su lugar de reclusión, a través del ingreso de elementos prohibidos o no permitidos.</w:t>
      </w:r>
    </w:p>
    <w:p w14:paraId="362AFB34" w14:textId="77777777" w:rsidR="002D5626" w:rsidRPr="00F712F2" w:rsidRDefault="002D5626" w:rsidP="002D5626">
      <w:pPr>
        <w:spacing w:line="240" w:lineRule="auto"/>
        <w:jc w:val="both"/>
      </w:pPr>
    </w:p>
    <w:p w14:paraId="29F3BB61" w14:textId="77777777" w:rsidR="002D5626" w:rsidRDefault="002D5626" w:rsidP="002D5626">
      <w:pPr>
        <w:spacing w:line="240" w:lineRule="auto"/>
        <w:jc w:val="both"/>
      </w:pPr>
      <w:r w:rsidRPr="00F712F2">
        <w:t xml:space="preserve">- Incautaciones recientes: En enero de 2025, el INPEC realizó un </w:t>
      </w:r>
      <w:r w:rsidRPr="00F712F2">
        <w:rPr>
          <w:color w:val="2E2C2C"/>
        </w:rPr>
        <w:t xml:space="preserve">amplio operativo de control y registro en 138 establecimientos de reclusión de Colombia. </w:t>
      </w:r>
      <w:r w:rsidRPr="00F712F2">
        <w:rPr>
          <w:rStyle w:val="Textoennegrita"/>
          <w:color w:val="2E2C2C"/>
        </w:rPr>
        <w:t>Esta intervención se enmarcó d</w:t>
      </w:r>
      <w:r w:rsidRPr="00F712F2">
        <w:rPr>
          <w:color w:val="2E2C2C"/>
        </w:rPr>
        <w:t xml:space="preserve">entro de la denominada Operación Dominó, cuyo propósito principal es reducir los índices de corrupción y mantener </w:t>
      </w:r>
      <w:r w:rsidRPr="00F712F2">
        <w:rPr>
          <w:color w:val="2E2C2C"/>
        </w:rPr>
        <w:lastRenderedPageBreak/>
        <w:t>el orden al interior de los establecimientos.</w:t>
      </w:r>
      <w:r w:rsidRPr="00F712F2">
        <w:t xml:space="preserve"> Con esta intervención se lograron incautar cerca de mil teléfonos móviles, armas de fabricación artesanal, más de 2.700 accesorios para celulares, 485 tarjetas SIM y aproximadamente 20 dispositivos USB. Además, las autoridades encontraron más de 12 kilos de estupefacientes, 1.250 litros de alcohol y 44 elementos de pólvora, entre otros elementos (RCN Radio &amp; Revista Semana, 2025).</w:t>
      </w:r>
    </w:p>
    <w:p w14:paraId="553C7EFD" w14:textId="77777777" w:rsidR="00986683" w:rsidRPr="00F712F2" w:rsidRDefault="00986683" w:rsidP="00986683">
      <w:pPr>
        <w:spacing w:line="360" w:lineRule="auto"/>
        <w:jc w:val="both"/>
      </w:pPr>
    </w:p>
    <w:p w14:paraId="454F941D" w14:textId="39A88037" w:rsidR="00986683" w:rsidRDefault="002D5626" w:rsidP="002D5626">
      <w:pPr>
        <w:pStyle w:val="Prrafodelista"/>
        <w:numPr>
          <w:ilvl w:val="0"/>
          <w:numId w:val="15"/>
        </w:numPr>
        <w:spacing w:line="240" w:lineRule="auto"/>
        <w:jc w:val="both"/>
        <w:rPr>
          <w:b/>
          <w:bCs/>
        </w:rPr>
      </w:pPr>
      <w:r>
        <w:rPr>
          <w:b/>
          <w:bCs/>
        </w:rPr>
        <w:t>FUNDAMENTOS JURIDICOS</w:t>
      </w:r>
    </w:p>
    <w:p w14:paraId="104B914E" w14:textId="77777777" w:rsidR="002D5626" w:rsidRPr="00F712F2" w:rsidRDefault="002D5626" w:rsidP="002D5626">
      <w:pPr>
        <w:pStyle w:val="Prrafodelista"/>
        <w:spacing w:line="240" w:lineRule="auto"/>
        <w:ind w:left="1080"/>
        <w:jc w:val="both"/>
        <w:rPr>
          <w:b/>
          <w:bCs/>
        </w:rPr>
      </w:pPr>
    </w:p>
    <w:p w14:paraId="6798A45A" w14:textId="77777777" w:rsidR="00986683" w:rsidRPr="00F712F2" w:rsidRDefault="00986683" w:rsidP="00986683">
      <w:pPr>
        <w:spacing w:line="240" w:lineRule="auto"/>
        <w:jc w:val="both"/>
      </w:pPr>
      <w:r w:rsidRPr="00F712F2">
        <w:t>El Código Penitenciario y Carcelario colombiano, Ley 65 de 19 de agosto de 1993, establece prohibiciones claras a los miembros del Cuerpo de Custodia y Vigilancia, el artículo 45 en los numerales a y b, les prohíbe tener trato con los reclusos más allá́ de lo necesario y les impide ingresar material pornográfico y otros elementos prohibidos en los reglamentos. Así como, aceptar dádivas de los detenidos, condenados, familiares o allegados de estos.</w:t>
      </w:r>
    </w:p>
    <w:p w14:paraId="65E60A4D" w14:textId="77777777" w:rsidR="00986683" w:rsidRPr="00F712F2" w:rsidRDefault="00986683" w:rsidP="00986683">
      <w:pPr>
        <w:spacing w:line="240" w:lineRule="auto"/>
        <w:jc w:val="both"/>
      </w:pPr>
    </w:p>
    <w:p w14:paraId="4526249B" w14:textId="77777777" w:rsidR="00986683" w:rsidRPr="00F712F2" w:rsidRDefault="00986683" w:rsidP="00986683">
      <w:pPr>
        <w:spacing w:line="240" w:lineRule="auto"/>
        <w:jc w:val="both"/>
      </w:pPr>
      <w:r w:rsidRPr="00F712F2">
        <w:t>Además, el artículo 64 del Código General Disciplinario, Ley 1952 de 28 de enero de 2019, tipifica como falta grave la introducción o facilitación del ingreso de armas, municiones, explosivos, bebidas embriagantes, estupefacientes o dispositivos de comunicación no autorizados en los establecimientos penitenciarios.</w:t>
      </w:r>
    </w:p>
    <w:p w14:paraId="63573914" w14:textId="77777777" w:rsidR="00986683" w:rsidRPr="00F712F2" w:rsidRDefault="00986683" w:rsidP="00986683">
      <w:pPr>
        <w:spacing w:line="240" w:lineRule="auto"/>
        <w:jc w:val="both"/>
      </w:pPr>
    </w:p>
    <w:p w14:paraId="2435AE40" w14:textId="77777777" w:rsidR="00986683" w:rsidRPr="00F712F2" w:rsidRDefault="00986683" w:rsidP="00986683">
      <w:pPr>
        <w:spacing w:line="240" w:lineRule="auto"/>
        <w:jc w:val="both"/>
      </w:pPr>
      <w:r w:rsidRPr="00F712F2">
        <w:t>Asimismo, la lista de elementos prohibidos o no permitidos se encuentra definida en la Resolución 006349 de 2016, entre los cuales se destaca: el licor, estupefacientes, los teléfonos móviles y otros dispositivos de comunicación, que resultan fundamentales para la operación del crimen organizado o las redes de fraude y extorsión desde las cárceles.</w:t>
      </w:r>
    </w:p>
    <w:p w14:paraId="3A6A9C00" w14:textId="77777777" w:rsidR="00986683" w:rsidRPr="00F712F2" w:rsidRDefault="00986683" w:rsidP="00986683">
      <w:pPr>
        <w:spacing w:line="240" w:lineRule="auto"/>
        <w:jc w:val="both"/>
      </w:pPr>
    </w:p>
    <w:p w14:paraId="26EF822B" w14:textId="42FB097D" w:rsidR="00986683" w:rsidRPr="00F712F2" w:rsidRDefault="00986683" w:rsidP="00986683">
      <w:pPr>
        <w:spacing w:line="240" w:lineRule="auto"/>
        <w:jc w:val="both"/>
        <w:rPr>
          <w:i/>
          <w:iCs/>
        </w:rPr>
      </w:pPr>
      <w:r w:rsidRPr="00F712F2">
        <w:t xml:space="preserve">La Ley 1709 de 20 de enero de 2014 en el artículo 73, modifica el artículo 112 de la Ley 65, sobre el régimen de visitas y establece que </w:t>
      </w:r>
      <w:r w:rsidRPr="00F712F2">
        <w:rPr>
          <w:i/>
          <w:iCs/>
        </w:rPr>
        <w:t>“[…] los visitantes sorprendidos tratando de ingresar al establecimiento penitenciario cualquier artículo expresamente prohibido por los reglamentos tales como armas de cualquier índole, sustancias psicoactivas ilícitas, medicamentos de control especial, bebidas alcohólicas, o sumas de dinero, no serán autorizados para realizar la visita respectiva y deberá ser prohibido su ingreso al establecimiento de reclusión por un periodo de hasta un (1) año, dependiendo de la gravedad de la conducta. Lo anterior sin perjuicio de las demás acciones legales pertinentes […]”.</w:t>
      </w:r>
    </w:p>
    <w:p w14:paraId="4D61811D" w14:textId="77777777" w:rsidR="00986683" w:rsidRPr="00F712F2" w:rsidRDefault="00986683" w:rsidP="00986683">
      <w:pPr>
        <w:spacing w:line="240" w:lineRule="auto"/>
        <w:jc w:val="both"/>
      </w:pPr>
    </w:p>
    <w:p w14:paraId="02F3F2C9" w14:textId="64E67CA8" w:rsidR="00986683" w:rsidRPr="00F712F2" w:rsidRDefault="00986683" w:rsidP="00F712F2">
      <w:pPr>
        <w:spacing w:line="240" w:lineRule="auto"/>
        <w:jc w:val="both"/>
      </w:pPr>
      <w:r w:rsidRPr="00F712F2">
        <w:t>Adicionalmente, resulta importante destacar que la Corte Constitucional declaró el estado de cosas inconstitucional en materia penitenciaria y carcelaria, situación que exhorta al Estado a adoptar acciones que mejoren las condiciones de las PPL, al respecto la Corte se ha pronunciado en las sentencias T-153 de 1998, T-388 de 2013, T-762 de 2015, entre otras.</w:t>
      </w:r>
    </w:p>
    <w:p w14:paraId="1BA89442" w14:textId="6773C542" w:rsidR="00F712F2" w:rsidRPr="00F712F2" w:rsidRDefault="00F712F2" w:rsidP="00F712F2">
      <w:pPr>
        <w:spacing w:line="240" w:lineRule="auto"/>
        <w:jc w:val="both"/>
      </w:pPr>
    </w:p>
    <w:p w14:paraId="0DE4CA71" w14:textId="59B6973C" w:rsidR="00F712F2" w:rsidRPr="002D5626" w:rsidRDefault="00986683" w:rsidP="002D5626">
      <w:pPr>
        <w:pStyle w:val="Prrafodelista"/>
        <w:numPr>
          <w:ilvl w:val="0"/>
          <w:numId w:val="29"/>
        </w:numPr>
        <w:spacing w:line="240" w:lineRule="auto"/>
        <w:jc w:val="both"/>
        <w:rPr>
          <w:b/>
          <w:bCs/>
        </w:rPr>
      </w:pPr>
      <w:r w:rsidRPr="00F712F2">
        <w:rPr>
          <w:b/>
          <w:bCs/>
        </w:rPr>
        <w:t>Derechos Fundamentales que se pretenden proteger</w:t>
      </w:r>
    </w:p>
    <w:p w14:paraId="2D0D20E4" w14:textId="3DC108C8" w:rsidR="00986683" w:rsidRPr="00F712F2" w:rsidRDefault="00986683" w:rsidP="00F712F2">
      <w:pPr>
        <w:widowControl w:val="0"/>
        <w:spacing w:line="240" w:lineRule="auto"/>
        <w:jc w:val="both"/>
      </w:pPr>
      <w:r w:rsidRPr="00F712F2">
        <w:t>2.7.1. Derecho a la vida (artículo 11 de la Constitución): La entrada de armas y drogas genera violencia dentro de los establecimientos de reclusión, poniendo en riesgo la vida de los reclusos, guardias y personal administrativo.</w:t>
      </w:r>
    </w:p>
    <w:p w14:paraId="63F7FA5B" w14:textId="4A3DA3BC" w:rsidR="00986683" w:rsidRPr="00F712F2" w:rsidRDefault="00986683" w:rsidP="00F712F2">
      <w:pPr>
        <w:widowControl w:val="0"/>
        <w:spacing w:line="240" w:lineRule="auto"/>
        <w:jc w:val="both"/>
      </w:pPr>
      <w:r w:rsidRPr="00F712F2">
        <w:t>2.7.2. Derecho a la integridad personal (artículo 12 de la Constitución): La circulación de drogas y armas propicia riñas, maltrato, tortura y agresiones dentro de las cárceles.</w:t>
      </w:r>
    </w:p>
    <w:p w14:paraId="79E31A91" w14:textId="77CD2291" w:rsidR="00986683" w:rsidRPr="00F712F2" w:rsidRDefault="00986683" w:rsidP="00F712F2">
      <w:pPr>
        <w:widowControl w:val="0"/>
        <w:spacing w:line="240" w:lineRule="auto"/>
        <w:jc w:val="both"/>
      </w:pPr>
      <w:r w:rsidRPr="00F712F2">
        <w:t>2.7.3. Derecho a la seguridad personal (artículos 13 y 28 de la Constitución): El ingreso de estos elementos ilegales afecta la seguridad tanto de los internos como del personal penitenciario y sus familias, al facilitar extorsiones, amenazas y otras formas de violencia.</w:t>
      </w:r>
    </w:p>
    <w:p w14:paraId="629BBD77" w14:textId="7C5B8709" w:rsidR="00986683" w:rsidRPr="00F712F2" w:rsidRDefault="00986683" w:rsidP="00F712F2">
      <w:pPr>
        <w:widowControl w:val="0"/>
        <w:spacing w:line="240" w:lineRule="auto"/>
        <w:jc w:val="both"/>
      </w:pPr>
      <w:r w:rsidRPr="00F712F2">
        <w:t>2.7.4. Derecho a la dignidad humana (artículo 1° y 12 de la Constitución): La presencia de drogas y otros objetos ilícitos genera condiciones inhumanas y degradantes dentro de los establecimientos carcelarios.</w:t>
      </w:r>
    </w:p>
    <w:p w14:paraId="6FEDBA74" w14:textId="7D4787FA" w:rsidR="00986683" w:rsidRPr="00F712F2" w:rsidRDefault="00986683" w:rsidP="00F712F2">
      <w:pPr>
        <w:widowControl w:val="0"/>
        <w:spacing w:line="240" w:lineRule="auto"/>
        <w:jc w:val="both"/>
      </w:pPr>
      <w:r w:rsidRPr="00F712F2">
        <w:lastRenderedPageBreak/>
        <w:t>2.7.5. Derecho a la resocialización (artículos 16 y 67 de la Constitución): La rehabilitación y reinserción social de los internos se ve afectada cuando hay acceso a elementos prohibidos, ya que incentivan actividades delictivas dentro y fuera de la cárcel.</w:t>
      </w:r>
    </w:p>
    <w:p w14:paraId="0E16F279" w14:textId="77777777" w:rsidR="00986683" w:rsidRPr="00F712F2" w:rsidRDefault="00986683" w:rsidP="00F712F2">
      <w:pPr>
        <w:widowControl w:val="0"/>
        <w:spacing w:line="240" w:lineRule="auto"/>
        <w:jc w:val="both"/>
      </w:pPr>
      <w:r w:rsidRPr="00F712F2">
        <w:t>2.7.6. Derecho de las víctimas a la justicia (artículos 29 y 250 de la Constitución): Si los internos continúan delinquiendo desde las cárceles mediante el uso de celulares y redes criminales, se afecta el acceso a la justicia de las víctimas y se debilita el sistema judicial.</w:t>
      </w:r>
    </w:p>
    <w:p w14:paraId="2160C907" w14:textId="77777777" w:rsidR="00986683" w:rsidRPr="00F712F2" w:rsidRDefault="00986683" w:rsidP="00986683">
      <w:pPr>
        <w:spacing w:line="360" w:lineRule="auto"/>
        <w:jc w:val="both"/>
        <w:rPr>
          <w:b/>
          <w:highlight w:val="white"/>
        </w:rPr>
      </w:pPr>
    </w:p>
    <w:p w14:paraId="5F738B67" w14:textId="44851596" w:rsidR="00F712F2" w:rsidRPr="002D5626" w:rsidRDefault="00986683" w:rsidP="002D5626">
      <w:pPr>
        <w:pStyle w:val="Prrafodelista"/>
        <w:numPr>
          <w:ilvl w:val="0"/>
          <w:numId w:val="29"/>
        </w:numPr>
        <w:spacing w:line="240" w:lineRule="auto"/>
        <w:jc w:val="both"/>
        <w:rPr>
          <w:b/>
          <w:bCs/>
        </w:rPr>
      </w:pPr>
      <w:r w:rsidRPr="00F712F2">
        <w:rPr>
          <w:b/>
          <w:bCs/>
        </w:rPr>
        <w:t>Constitucionalidad del Proyecto</w:t>
      </w:r>
    </w:p>
    <w:p w14:paraId="3544CAB9" w14:textId="77777777" w:rsidR="00986683" w:rsidRPr="00F712F2" w:rsidRDefault="00986683" w:rsidP="00986683">
      <w:pPr>
        <w:pStyle w:val="Prrafodelista"/>
        <w:spacing w:line="240" w:lineRule="auto"/>
        <w:ind w:left="0"/>
        <w:jc w:val="both"/>
      </w:pPr>
      <w:r w:rsidRPr="00F712F2">
        <w:t>Este proyecto de Ley promueve las garantías constitucionales y preserva un orden legal justo. Protege los derechos a la vida, a la integridad personal, a la seguridad personal, a la dignidad humana, a la resocialización, entre otros.</w:t>
      </w:r>
    </w:p>
    <w:p w14:paraId="2B21F08D" w14:textId="77777777" w:rsidR="00986683" w:rsidRPr="00F712F2" w:rsidRDefault="00986683" w:rsidP="00986683">
      <w:pPr>
        <w:spacing w:line="240" w:lineRule="auto"/>
        <w:jc w:val="both"/>
      </w:pPr>
    </w:p>
    <w:p w14:paraId="5AD6602C" w14:textId="0A62E3C2" w:rsidR="00986683" w:rsidRPr="002D5626" w:rsidRDefault="00986683" w:rsidP="002D5626">
      <w:pPr>
        <w:pStyle w:val="Prrafodelista"/>
        <w:spacing w:line="240" w:lineRule="auto"/>
        <w:ind w:left="0"/>
        <w:jc w:val="both"/>
      </w:pPr>
      <w:r w:rsidRPr="00F712F2">
        <w:t>Se debe señalar, además, que el proyecto de Ley no resulta contrario al régimen de visitas de las PPL, en tanto lo que reprocha es la intención de ingresar materiales prohibidos a las cárceles del país que ponen en riesgo la integridad de los reclusos y de los colombianos en general debido a la utilización de estos elementos para la comisión o reincidencia de delitos.</w:t>
      </w:r>
    </w:p>
    <w:p w14:paraId="0B05DF66" w14:textId="77777777" w:rsidR="00986683" w:rsidRPr="00F712F2" w:rsidRDefault="00986683" w:rsidP="005E53AC">
      <w:pPr>
        <w:pStyle w:val="Normal0"/>
        <w:pBdr>
          <w:top w:val="nil"/>
          <w:left w:val="nil"/>
          <w:bottom w:val="nil"/>
          <w:right w:val="nil"/>
          <w:between w:val="nil"/>
        </w:pBdr>
        <w:ind w:left="360"/>
        <w:rPr>
          <w:rFonts w:eastAsia="Times New Roman"/>
          <w:b/>
          <w:bCs/>
          <w:iCs/>
        </w:rPr>
      </w:pPr>
    </w:p>
    <w:p w14:paraId="69EF8800" w14:textId="41E310CE" w:rsidR="00F712F2" w:rsidRPr="00F712F2" w:rsidRDefault="006A2F93" w:rsidP="00F712F2">
      <w:pPr>
        <w:pStyle w:val="Normal0"/>
        <w:numPr>
          <w:ilvl w:val="0"/>
          <w:numId w:val="15"/>
        </w:numPr>
        <w:pBdr>
          <w:top w:val="nil"/>
          <w:left w:val="nil"/>
          <w:bottom w:val="nil"/>
          <w:right w:val="nil"/>
          <w:between w:val="nil"/>
        </w:pBdr>
        <w:rPr>
          <w:rFonts w:eastAsia="Times New Roman"/>
          <w:b/>
          <w:bCs/>
        </w:rPr>
      </w:pPr>
      <w:r w:rsidRPr="00F712F2">
        <w:rPr>
          <w:rFonts w:eastAsia="Times New Roman"/>
          <w:b/>
          <w:bCs/>
        </w:rPr>
        <w:t xml:space="preserve">CONVENIENCIA </w:t>
      </w:r>
    </w:p>
    <w:p w14:paraId="68AEFE43" w14:textId="6A884AC7" w:rsidR="00F712F2" w:rsidRPr="00F712F2" w:rsidRDefault="006A2F93" w:rsidP="00F712F2">
      <w:pPr>
        <w:pStyle w:val="Normal0"/>
        <w:jc w:val="both"/>
        <w:rPr>
          <w:rFonts w:eastAsia="Times New Roman"/>
        </w:rPr>
      </w:pPr>
      <w:r w:rsidRPr="00F712F2">
        <w:rPr>
          <w:rFonts w:eastAsia="Times New Roman"/>
        </w:rPr>
        <w:t xml:space="preserve">Este </w:t>
      </w:r>
      <w:r w:rsidR="00F712F2" w:rsidRPr="00F712F2">
        <w:rPr>
          <w:rFonts w:eastAsia="Times New Roman"/>
        </w:rPr>
        <w:t>proyecto de ley es conveniente por la persistente situación de ingreso de elementos prohibidos y sus consecuencias en la comisión de delitos o en la reincidencia de los mismos, conlleva a la necesidad de reforzar las medidas legislativas. Esto supone la imposición de sanciones más severas para los infractores, tanto internos como externos.</w:t>
      </w:r>
    </w:p>
    <w:p w14:paraId="208F43D8" w14:textId="504C2C3F" w:rsidR="00F712F2" w:rsidRDefault="00F712F2" w:rsidP="00986683">
      <w:pPr>
        <w:pStyle w:val="Normal0"/>
        <w:jc w:val="both"/>
        <w:rPr>
          <w:rFonts w:eastAsia="Times New Roman"/>
          <w:color w:val="141414"/>
          <w:highlight w:val="white"/>
        </w:rPr>
      </w:pPr>
      <w:r w:rsidRPr="00F712F2">
        <w:rPr>
          <w:rFonts w:eastAsia="Times New Roman"/>
        </w:rPr>
        <w:t>En Colombia no existe ningún tipo de reproche penal para quien sea sorprendido intentando, permitiendo o facilitando el ingreso de elementos prohibidos o no permitidos a los establecimientos de reclusión. En el caso de los particulares simplemente ocurre la incautación del elemento y la prohibición del ingreso a las instalaciones por un periodo de hasta un (1) año, dependiendo de la gravedad de la conducta. En el caso de los servidores públicos de custodia y vigilancia, su actuar da lugar a la apertura de un proceso disciplinario. De allí la importancia de la creación del tipo penal de “Ingreso de elementos prohibidos a establecimientos penitenciarios o carcelarios”.</w:t>
      </w:r>
    </w:p>
    <w:p w14:paraId="7CE09F65" w14:textId="77777777" w:rsidR="00F712F2" w:rsidRPr="00F712F2" w:rsidRDefault="00F712F2" w:rsidP="00986683">
      <w:pPr>
        <w:pStyle w:val="Normal0"/>
        <w:jc w:val="both"/>
        <w:rPr>
          <w:rFonts w:eastAsia="Times New Roman"/>
          <w:color w:val="141414"/>
          <w:highlight w:val="white"/>
        </w:rPr>
      </w:pPr>
    </w:p>
    <w:p w14:paraId="49B39C95" w14:textId="77253705" w:rsidR="006A2F93" w:rsidRPr="00F712F2" w:rsidRDefault="00F712F2" w:rsidP="00F712F2">
      <w:pPr>
        <w:pStyle w:val="Normal0"/>
        <w:spacing w:line="259" w:lineRule="auto"/>
        <w:rPr>
          <w:rFonts w:eastAsia="Times New Roman"/>
          <w:b/>
        </w:rPr>
      </w:pPr>
      <w:r>
        <w:rPr>
          <w:rFonts w:eastAsia="Times New Roman"/>
          <w:b/>
        </w:rPr>
        <w:t xml:space="preserve">    </w:t>
      </w:r>
      <w:r w:rsidR="00B7249A" w:rsidRPr="00F712F2">
        <w:rPr>
          <w:rFonts w:eastAsia="Times New Roman"/>
          <w:b/>
        </w:rPr>
        <w:t>V</w:t>
      </w:r>
      <w:r w:rsidR="00B2662A" w:rsidRPr="00F712F2">
        <w:rPr>
          <w:rFonts w:eastAsia="Times New Roman"/>
          <w:b/>
        </w:rPr>
        <w:t>I</w:t>
      </w:r>
      <w:r w:rsidR="00B7249A" w:rsidRPr="00F712F2">
        <w:rPr>
          <w:rFonts w:eastAsia="Times New Roman"/>
          <w:b/>
        </w:rPr>
        <w:t xml:space="preserve">. </w:t>
      </w:r>
      <w:r w:rsidR="006A2F93" w:rsidRPr="00F712F2">
        <w:rPr>
          <w:rFonts w:eastAsia="Times New Roman"/>
          <w:b/>
        </w:rPr>
        <w:t>IMPACTO FISCAL</w:t>
      </w:r>
    </w:p>
    <w:p w14:paraId="0A8AE2BD" w14:textId="364370E6" w:rsidR="006A2F93" w:rsidRPr="00F712F2" w:rsidRDefault="006A2F93" w:rsidP="006A2F93">
      <w:pPr>
        <w:pStyle w:val="Normal0"/>
        <w:shd w:val="clear" w:color="auto" w:fill="FFFFFF"/>
        <w:spacing w:line="259" w:lineRule="auto"/>
        <w:jc w:val="both"/>
        <w:rPr>
          <w:rFonts w:eastAsia="Times New Roman"/>
        </w:rPr>
      </w:pPr>
      <w:r w:rsidRPr="00F712F2">
        <w:rPr>
          <w:rFonts w:eastAsia="Times New Roman"/>
        </w:rPr>
        <w:t>El proyecto de ley</w:t>
      </w:r>
      <w:r w:rsidR="00E64447" w:rsidRPr="00F712F2">
        <w:rPr>
          <w:rFonts w:eastAsia="Times New Roman"/>
        </w:rPr>
        <w:t xml:space="preserve"> n</w:t>
      </w:r>
      <w:r w:rsidR="00230B91" w:rsidRPr="00F712F2">
        <w:rPr>
          <w:rFonts w:eastAsia="Times New Roman"/>
        </w:rPr>
        <w:t>o ordena gastos específicamente, en</w:t>
      </w:r>
      <w:r w:rsidRPr="00F712F2">
        <w:rPr>
          <w:rFonts w:eastAsia="Times New Roman"/>
        </w:rPr>
        <w:t xml:space="preserve"> este espacio cabe puntualizar que el Congreso de la República tiene la posibilidad de incluir en el trámite legislativo</w:t>
      </w:r>
      <w:r w:rsidR="00230B91" w:rsidRPr="00F712F2">
        <w:rPr>
          <w:rFonts w:eastAsia="Times New Roman"/>
        </w:rPr>
        <w:t xml:space="preserve"> autorizaciones,</w:t>
      </w:r>
      <w:r w:rsidRPr="00F712F2">
        <w:rPr>
          <w:rFonts w:eastAsia="Times New Roman"/>
        </w:rPr>
        <w:t xml:space="preserve"> órdenes o disposiciones que impliquen ciertos costos o gastos, sin que ello signifique adición o modificación del Presupuesto General de la Nación. Precisando que el Gobierno tiene la potestad de incluir o no en el presupuesto anual las apropiaciones requeridas para materializar el deseo del legislativo. </w:t>
      </w:r>
    </w:p>
    <w:p w14:paraId="3F9F9561" w14:textId="77777777" w:rsidR="00230B91" w:rsidRPr="00F712F2" w:rsidRDefault="00230B91" w:rsidP="006A2F93">
      <w:pPr>
        <w:pStyle w:val="Normal0"/>
        <w:shd w:val="clear" w:color="auto" w:fill="FFFFFF"/>
        <w:spacing w:line="259" w:lineRule="auto"/>
        <w:jc w:val="both"/>
        <w:rPr>
          <w:rFonts w:eastAsia="Times New Roman"/>
        </w:rPr>
      </w:pPr>
    </w:p>
    <w:p w14:paraId="1DAF0966" w14:textId="77777777" w:rsidR="0059084A" w:rsidRPr="00F712F2" w:rsidRDefault="006A2F93" w:rsidP="006A2F93">
      <w:pPr>
        <w:pStyle w:val="Normal0"/>
        <w:shd w:val="clear" w:color="auto" w:fill="FFFFFF"/>
        <w:spacing w:line="259" w:lineRule="auto"/>
        <w:jc w:val="both"/>
        <w:rPr>
          <w:rFonts w:eastAsia="Times New Roman"/>
        </w:rPr>
      </w:pPr>
      <w:r w:rsidRPr="00F712F2">
        <w:rPr>
          <w:rFonts w:eastAsia="Times New Roman"/>
        </w:rPr>
        <w:t xml:space="preserve">Al respecto la Corte Constitucional se ha manifestado de forma clara en su sentencia C-729 de 2005, en la cual se resolvió sobre </w:t>
      </w:r>
      <w:r w:rsidRPr="00F712F2">
        <w:rPr>
          <w:rFonts w:eastAsia="Times New Roman"/>
          <w:i/>
        </w:rPr>
        <w:t>“</w:t>
      </w:r>
      <w:r w:rsidRPr="00F712F2">
        <w:rPr>
          <w:rFonts w:eastAsia="Times New Roman"/>
          <w:iCs/>
        </w:rPr>
        <w:t>OBJECIÓN PRESIDENCIAL-Autorización al Gobierno nacional para incluir partidas presupuestales para concurrir a la realización de obras en municipios/OBJECIÓN PRESIDENCIAL A PROYECTO DE LEY QUE AUTORIZA AL GOBIERNO PARA INCLUIR GASTO- realización de obras en municipio a través del sistema de cofinanciación;”,</w:t>
      </w:r>
      <w:r w:rsidRPr="00F712F2">
        <w:rPr>
          <w:rFonts w:eastAsia="Times New Roman"/>
        </w:rPr>
        <w:t xml:space="preserve"> en esta la Corte dice:</w:t>
      </w:r>
    </w:p>
    <w:p w14:paraId="0D2921A3" w14:textId="3930BC27" w:rsidR="006A2F93" w:rsidRPr="00F712F2" w:rsidRDefault="006A2F93" w:rsidP="006A2F93">
      <w:pPr>
        <w:pStyle w:val="Normal0"/>
        <w:shd w:val="clear" w:color="auto" w:fill="FFFFFF"/>
        <w:spacing w:line="259" w:lineRule="auto"/>
        <w:jc w:val="both"/>
        <w:rPr>
          <w:rFonts w:eastAsia="Times New Roman"/>
        </w:rPr>
      </w:pPr>
      <w:r w:rsidRPr="00F712F2">
        <w:rPr>
          <w:rFonts w:eastAsia="Times New Roman"/>
        </w:rPr>
        <w:t xml:space="preserve"> </w:t>
      </w:r>
    </w:p>
    <w:p w14:paraId="74806AC1" w14:textId="77777777" w:rsidR="00230B91" w:rsidRPr="00F712F2" w:rsidRDefault="006A2F93" w:rsidP="006A2F93">
      <w:pPr>
        <w:pStyle w:val="Normal0"/>
        <w:shd w:val="clear" w:color="auto" w:fill="FFFFFF"/>
        <w:spacing w:line="259" w:lineRule="auto"/>
        <w:ind w:left="700"/>
        <w:jc w:val="both"/>
        <w:rPr>
          <w:rFonts w:eastAsia="Times New Roman"/>
          <w:i/>
        </w:rPr>
      </w:pPr>
      <w:r w:rsidRPr="00F712F2">
        <w:rPr>
          <w:rFonts w:eastAsia="Times New Roman"/>
          <w:i/>
        </w:rPr>
        <w:t xml:space="preserve">“Analizado el artículo 2° objetado, observa la Corte que dicha disposición se limita a </w:t>
      </w:r>
      <w:r w:rsidRPr="00F712F2">
        <w:rPr>
          <w:rFonts w:eastAsia="Times New Roman"/>
          <w:i/>
          <w:u w:val="single"/>
        </w:rPr>
        <w:t xml:space="preserve">autorizar </w:t>
      </w:r>
      <w:r w:rsidRPr="00F712F2">
        <w:rPr>
          <w:rFonts w:eastAsia="Times New Roman"/>
          <w:i/>
        </w:rPr>
        <w:t xml:space="preserve">al Gobierno nacional para que a partir de la sanción de la presente ley incluya, si lo desea, en el </w:t>
      </w:r>
      <w:r w:rsidRPr="00F712F2">
        <w:rPr>
          <w:rFonts w:eastAsia="Times New Roman"/>
          <w:i/>
        </w:rPr>
        <w:lastRenderedPageBreak/>
        <w:t xml:space="preserve">presupuesto un gasto. En efecto, dispone el artículo 2° del proyecto “Autorícese al Gobierno nacional para que incluya dentro del Presupuesto General de la Nación, las partidas presupuestales para concurrir a…” </w:t>
      </w:r>
    </w:p>
    <w:p w14:paraId="59F3A28A" w14:textId="77777777" w:rsidR="002D5626" w:rsidRDefault="002D5626" w:rsidP="00D67A43">
      <w:pPr>
        <w:pStyle w:val="Normal0"/>
        <w:shd w:val="clear" w:color="auto" w:fill="FFFFFF"/>
        <w:spacing w:line="259" w:lineRule="auto"/>
        <w:jc w:val="both"/>
        <w:rPr>
          <w:rFonts w:eastAsia="Times New Roman"/>
        </w:rPr>
      </w:pPr>
    </w:p>
    <w:p w14:paraId="3B28C810" w14:textId="213DC678" w:rsidR="00230B91" w:rsidRDefault="006A2F93" w:rsidP="00D67A43">
      <w:pPr>
        <w:pStyle w:val="Normal0"/>
        <w:shd w:val="clear" w:color="auto" w:fill="FFFFFF"/>
        <w:spacing w:line="259" w:lineRule="auto"/>
        <w:jc w:val="both"/>
        <w:rPr>
          <w:rFonts w:eastAsia="Times New Roman"/>
        </w:rPr>
      </w:pPr>
      <w:r w:rsidRPr="00F712F2">
        <w:rPr>
          <w:rFonts w:eastAsia="Times New Roman"/>
        </w:rPr>
        <w:t>De los expuesto, como se había mencionado se desprende que el proyecto de ley no vulnera los preceptos constitucionales, en cuanto no orde</w:t>
      </w:r>
      <w:r w:rsidR="00B36339">
        <w:rPr>
          <w:rFonts w:eastAsia="Times New Roman"/>
        </w:rPr>
        <w:t>na de forma imperativa un gasto.</w:t>
      </w:r>
      <w:r w:rsidRPr="00F712F2">
        <w:rPr>
          <w:rFonts w:eastAsia="Times New Roman"/>
        </w:rPr>
        <w:t xml:space="preserve"> </w:t>
      </w:r>
    </w:p>
    <w:p w14:paraId="35198026" w14:textId="77777777" w:rsidR="002D5626" w:rsidRPr="00F712F2" w:rsidRDefault="002D5626" w:rsidP="00D67A43">
      <w:pPr>
        <w:pStyle w:val="Normal0"/>
        <w:shd w:val="clear" w:color="auto" w:fill="FFFFFF"/>
        <w:spacing w:line="259" w:lineRule="auto"/>
        <w:jc w:val="both"/>
        <w:rPr>
          <w:rFonts w:eastAsia="Times New Roman"/>
        </w:rPr>
      </w:pPr>
    </w:p>
    <w:bookmarkEnd w:id="4"/>
    <w:p w14:paraId="49D326CA" w14:textId="2F71CA55" w:rsidR="002D5626" w:rsidRDefault="0081552D" w:rsidP="002D5626">
      <w:pPr>
        <w:pStyle w:val="Prrafodelista"/>
        <w:numPr>
          <w:ilvl w:val="0"/>
          <w:numId w:val="32"/>
        </w:numPr>
        <w:jc w:val="both"/>
        <w:rPr>
          <w:rFonts w:eastAsia="Times"/>
          <w:b/>
          <w:color w:val="000000" w:themeColor="text1"/>
        </w:rPr>
      </w:pPr>
      <w:r w:rsidRPr="002D5626">
        <w:rPr>
          <w:rFonts w:eastAsia="Times"/>
          <w:b/>
          <w:color w:val="000000" w:themeColor="text1"/>
        </w:rPr>
        <w:t xml:space="preserve">ESTRUCTURA DEL PROYECTO DE LEY </w:t>
      </w:r>
    </w:p>
    <w:p w14:paraId="3B6BF187" w14:textId="77777777" w:rsidR="002D5626" w:rsidRPr="002D5626" w:rsidRDefault="002D5626" w:rsidP="002D5626">
      <w:pPr>
        <w:pStyle w:val="Prrafodelista"/>
        <w:ind w:left="1080"/>
        <w:jc w:val="both"/>
        <w:rPr>
          <w:rFonts w:eastAsia="Times"/>
          <w:b/>
          <w:color w:val="000000" w:themeColor="text1"/>
        </w:rPr>
      </w:pPr>
    </w:p>
    <w:p w14:paraId="6FAC90D3" w14:textId="75A978BD" w:rsidR="002D5626" w:rsidRDefault="00D67A43" w:rsidP="002D5626">
      <w:pPr>
        <w:jc w:val="both"/>
        <w:rPr>
          <w:bCs/>
          <w:shd w:val="clear" w:color="auto" w:fill="FFFFFF"/>
        </w:rPr>
      </w:pPr>
      <w:r w:rsidRPr="002D5626">
        <w:rPr>
          <w:rFonts w:eastAsia="Times"/>
          <w:bCs/>
          <w:color w:val="000000" w:themeColor="text1"/>
        </w:rPr>
        <w:t xml:space="preserve">Esta iniciativa </w:t>
      </w:r>
      <w:r w:rsidR="0081552D" w:rsidRPr="002D5626">
        <w:rPr>
          <w:rFonts w:eastAsia="Times"/>
          <w:bCs/>
          <w:color w:val="000000" w:themeColor="text1"/>
        </w:rPr>
        <w:t xml:space="preserve">cuenta únicamente con </w:t>
      </w:r>
      <w:r w:rsidR="00F712F2" w:rsidRPr="002D5626">
        <w:rPr>
          <w:rFonts w:eastAsia="Times"/>
          <w:bCs/>
          <w:color w:val="000000" w:themeColor="text1"/>
        </w:rPr>
        <w:t xml:space="preserve">dos </w:t>
      </w:r>
      <w:r w:rsidR="00E5164A" w:rsidRPr="002D5626">
        <w:rPr>
          <w:rFonts w:eastAsia="Times"/>
          <w:bCs/>
          <w:color w:val="000000" w:themeColor="text1"/>
        </w:rPr>
        <w:t>(</w:t>
      </w:r>
      <w:r w:rsidR="00F712F2" w:rsidRPr="002D5626">
        <w:rPr>
          <w:rFonts w:eastAsia="Times"/>
          <w:bCs/>
          <w:color w:val="000000" w:themeColor="text1"/>
        </w:rPr>
        <w:t>2</w:t>
      </w:r>
      <w:r w:rsidR="00E5164A" w:rsidRPr="002D5626">
        <w:rPr>
          <w:rFonts w:eastAsia="Times"/>
          <w:bCs/>
          <w:color w:val="000000" w:themeColor="text1"/>
        </w:rPr>
        <w:t>)</w:t>
      </w:r>
      <w:r w:rsidR="0081552D" w:rsidRPr="002D5626">
        <w:rPr>
          <w:rFonts w:eastAsia="Times"/>
          <w:bCs/>
          <w:color w:val="000000" w:themeColor="text1"/>
        </w:rPr>
        <w:t xml:space="preserve"> artículos incluyendo </w:t>
      </w:r>
      <w:r w:rsidR="00B36339" w:rsidRPr="002D5626">
        <w:rPr>
          <w:rFonts w:eastAsia="Times"/>
          <w:bCs/>
          <w:color w:val="000000" w:themeColor="text1"/>
        </w:rPr>
        <w:t>la vigencia, donde el primero busca</w:t>
      </w:r>
      <w:r w:rsidR="0081552D" w:rsidRPr="002D5626">
        <w:rPr>
          <w:rFonts w:eastAsia="Times"/>
          <w:bCs/>
          <w:color w:val="000000" w:themeColor="text1"/>
        </w:rPr>
        <w:t xml:space="preserve"> </w:t>
      </w:r>
      <w:r w:rsidR="00BA2A4F" w:rsidRPr="002D5626">
        <w:rPr>
          <w:rFonts w:eastAsia="Times"/>
          <w:bCs/>
          <w:color w:val="000000" w:themeColor="text1"/>
        </w:rPr>
        <w:t>modifica</w:t>
      </w:r>
      <w:r w:rsidR="00B36339" w:rsidRPr="002D5626">
        <w:rPr>
          <w:rFonts w:eastAsia="Times"/>
          <w:bCs/>
          <w:color w:val="000000" w:themeColor="text1"/>
        </w:rPr>
        <w:t xml:space="preserve">r </w:t>
      </w:r>
      <w:r w:rsidR="00B36339" w:rsidRPr="002D5626">
        <w:rPr>
          <w:bCs/>
          <w:shd w:val="clear" w:color="auto" w:fill="FFFFFF"/>
        </w:rPr>
        <w:t xml:space="preserve">Ley 599 de 24 de julio de 2000, por la cual se expide el Código Penal, el artículo 453A al Título XVI, relativo a los </w:t>
      </w:r>
      <w:r w:rsidR="00B36339" w:rsidRPr="002D5626">
        <w:rPr>
          <w:bCs/>
          <w:i/>
          <w:iCs/>
          <w:shd w:val="clear" w:color="auto" w:fill="FFFFFF"/>
        </w:rPr>
        <w:t>“Delitos contra la eficaz y recta impartición de justicia”</w:t>
      </w:r>
      <w:r w:rsidR="00B36339" w:rsidRPr="002D5626">
        <w:rPr>
          <w:bCs/>
          <w:shd w:val="clear" w:color="auto" w:fill="FFFFFF"/>
        </w:rPr>
        <w:t xml:space="preserve">, capítulo octavo </w:t>
      </w:r>
      <w:r w:rsidR="00B36339" w:rsidRPr="002D5626">
        <w:rPr>
          <w:bCs/>
          <w:i/>
          <w:iCs/>
          <w:shd w:val="clear" w:color="auto" w:fill="FFFFFF"/>
        </w:rPr>
        <w:t>“Del fraude procesal y otras infracciones”</w:t>
      </w:r>
      <w:r w:rsidR="00B36339" w:rsidRPr="002D5626">
        <w:rPr>
          <w:bCs/>
          <w:shd w:val="clear" w:color="auto" w:fill="FFFFFF"/>
        </w:rPr>
        <w:t>,</w:t>
      </w:r>
    </w:p>
    <w:p w14:paraId="0189DF07" w14:textId="77777777" w:rsidR="002D5626" w:rsidRDefault="002D5626" w:rsidP="002D5626">
      <w:pPr>
        <w:ind w:left="360"/>
        <w:jc w:val="both"/>
        <w:rPr>
          <w:bCs/>
          <w:shd w:val="clear" w:color="auto" w:fill="FFFFFF"/>
        </w:rPr>
      </w:pPr>
    </w:p>
    <w:p w14:paraId="75BD0BF9" w14:textId="671657D4" w:rsidR="00E64447" w:rsidRPr="002D5626" w:rsidRDefault="00D67A43" w:rsidP="002D5626">
      <w:pPr>
        <w:pStyle w:val="Prrafodelista"/>
        <w:numPr>
          <w:ilvl w:val="0"/>
          <w:numId w:val="32"/>
        </w:numPr>
        <w:jc w:val="both"/>
        <w:rPr>
          <w:rFonts w:eastAsia="Times"/>
          <w:b/>
          <w:color w:val="000000" w:themeColor="text1"/>
        </w:rPr>
      </w:pPr>
      <w:r w:rsidRPr="002D5626">
        <w:rPr>
          <w:rFonts w:eastAsia="Times New Roman"/>
          <w:b/>
        </w:rPr>
        <w:t xml:space="preserve"> </w:t>
      </w:r>
      <w:r w:rsidR="00E64447" w:rsidRPr="002D5626">
        <w:rPr>
          <w:rFonts w:eastAsia="Times New Roman"/>
          <w:b/>
        </w:rPr>
        <w:t xml:space="preserve">CONFLICTO DE INTERÉS:  </w:t>
      </w:r>
    </w:p>
    <w:p w14:paraId="5F34599F" w14:textId="77777777" w:rsidR="002D5626" w:rsidRPr="002D5626" w:rsidRDefault="002D5626" w:rsidP="002D5626">
      <w:pPr>
        <w:pStyle w:val="Prrafodelista"/>
        <w:ind w:left="1080"/>
        <w:jc w:val="both"/>
        <w:rPr>
          <w:rFonts w:eastAsia="Times"/>
          <w:b/>
          <w:color w:val="000000" w:themeColor="text1"/>
        </w:rPr>
      </w:pPr>
    </w:p>
    <w:p w14:paraId="4F37C5AE" w14:textId="77777777" w:rsidR="002D5626" w:rsidRDefault="00E64447" w:rsidP="002D5626">
      <w:pPr>
        <w:pStyle w:val="Normal0"/>
        <w:shd w:val="clear" w:color="auto" w:fill="FFFFFF"/>
        <w:spacing w:line="259" w:lineRule="auto"/>
        <w:jc w:val="both"/>
        <w:rPr>
          <w:rFonts w:eastAsia="Times New Roman"/>
        </w:rPr>
      </w:pPr>
      <w:r w:rsidRPr="00F712F2">
        <w:rPr>
          <w:rFonts w:eastAsia="Times New Roman"/>
        </w:rPr>
        <w:t>De acuerdo con lo ordenado en el artículo 3º de la Ley 2003 de 2019, en concordancia con los artículos 286 y 291 de la Ley 5 de 1992 (Reglamento del Congreso), y conforme con el objetivo de la presente iniciativa, se puede concluir inicialmente: Se presume que no hay motivos que puedan generar un conflicto de interés para presentar esta iniciativa de ley. Tampoco se evidencian motivos que puedan generar un conflicto de interés en los congresistas para que puedan discutir y votar esta iniciativa de ley. Sin embargo, se debe tener presente que, el conflicto de interés y el impedimento es un tema especial e individual en el que cada congresista debe analizar si puede generarle un conflicto de interés o un impedimento.</w:t>
      </w:r>
      <w:bookmarkStart w:id="5" w:name="_Hlk127224652"/>
    </w:p>
    <w:p w14:paraId="1825DB36" w14:textId="77777777" w:rsidR="002D5626" w:rsidRDefault="002D5626" w:rsidP="002D5626">
      <w:pPr>
        <w:pStyle w:val="Normal0"/>
        <w:shd w:val="clear" w:color="auto" w:fill="FFFFFF"/>
        <w:spacing w:line="259" w:lineRule="auto"/>
        <w:jc w:val="both"/>
        <w:rPr>
          <w:rFonts w:eastAsia="Times New Roman"/>
        </w:rPr>
      </w:pPr>
    </w:p>
    <w:p w14:paraId="2DAAB132" w14:textId="3D4B92A2" w:rsidR="002D5626" w:rsidRDefault="002D5626" w:rsidP="002D5626">
      <w:pPr>
        <w:pStyle w:val="Normal0"/>
        <w:numPr>
          <w:ilvl w:val="0"/>
          <w:numId w:val="32"/>
        </w:numPr>
        <w:shd w:val="clear" w:color="auto" w:fill="FFFFFF"/>
        <w:spacing w:line="259" w:lineRule="auto"/>
        <w:jc w:val="both"/>
        <w:rPr>
          <w:b/>
          <w:color w:val="000000" w:themeColor="text1"/>
        </w:rPr>
      </w:pPr>
      <w:r w:rsidRPr="00F712F2">
        <w:rPr>
          <w:b/>
          <w:color w:val="000000" w:themeColor="text1"/>
        </w:rPr>
        <w:t xml:space="preserve">BIBLIOGRAFÍA </w:t>
      </w:r>
    </w:p>
    <w:p w14:paraId="0DA991D0" w14:textId="77777777" w:rsidR="002D5626" w:rsidRPr="002D5626" w:rsidRDefault="002D5626" w:rsidP="002D5626">
      <w:pPr>
        <w:pStyle w:val="Normal0"/>
        <w:shd w:val="clear" w:color="auto" w:fill="FFFFFF"/>
        <w:spacing w:line="259" w:lineRule="auto"/>
        <w:ind w:left="1080"/>
        <w:jc w:val="both"/>
        <w:rPr>
          <w:rFonts w:eastAsia="Times New Roman"/>
        </w:rPr>
      </w:pPr>
    </w:p>
    <w:p w14:paraId="085C9892" w14:textId="77777777" w:rsidR="002D5626" w:rsidRPr="00F712F2" w:rsidRDefault="002D5626" w:rsidP="002D5626">
      <w:pPr>
        <w:pStyle w:val="Normal0"/>
        <w:shd w:val="clear" w:color="auto" w:fill="FFFFFF"/>
        <w:spacing w:line="259" w:lineRule="auto"/>
        <w:jc w:val="both"/>
        <w:rPr>
          <w:rFonts w:eastAsia="Times New Roman"/>
        </w:rPr>
      </w:pPr>
      <w:r w:rsidRPr="00F712F2">
        <w:rPr>
          <w:rFonts w:eastAsia="Times New Roman"/>
        </w:rPr>
        <w:t xml:space="preserve">Resolución núm. 006349 de 19 de diciembre de 2016 expedida por el INPEC, </w:t>
      </w:r>
    </w:p>
    <w:p w14:paraId="6355BE80" w14:textId="77777777" w:rsidR="002D5626" w:rsidRPr="00F712F2" w:rsidRDefault="002D5626" w:rsidP="002D5626">
      <w:pPr>
        <w:pStyle w:val="Normal0"/>
        <w:shd w:val="clear" w:color="auto" w:fill="FFFFFF"/>
        <w:spacing w:line="259" w:lineRule="auto"/>
        <w:jc w:val="both"/>
        <w:rPr>
          <w:rFonts w:eastAsia="Times New Roman"/>
        </w:rPr>
      </w:pPr>
      <w:r w:rsidRPr="00F712F2">
        <w:rPr>
          <w:rFonts w:eastAsia="Times New Roman"/>
        </w:rPr>
        <w:t xml:space="preserve">chrome-extension://efaidnbmnnnibpcajpcglclefindmkaj/https://scj.gov.co/sites/default/files/marco-legal/Resoluci%C3%B3n%20006349%20de%206%20de%2019%20de%20Diciembre%20de%202016%20%285%29.pdf </w:t>
      </w:r>
    </w:p>
    <w:p w14:paraId="6B7A2DCE" w14:textId="77777777" w:rsidR="002D5626" w:rsidRPr="00F712F2" w:rsidRDefault="002D5626" w:rsidP="002D5626">
      <w:pPr>
        <w:pStyle w:val="Normal0"/>
        <w:shd w:val="clear" w:color="auto" w:fill="FFFFFF"/>
        <w:spacing w:line="259" w:lineRule="auto"/>
        <w:jc w:val="both"/>
        <w:rPr>
          <w:rFonts w:eastAsia="Times New Roman"/>
        </w:rPr>
      </w:pPr>
    </w:p>
    <w:p w14:paraId="493C3AF6" w14:textId="77777777" w:rsidR="002D5626" w:rsidRPr="00F712F2" w:rsidRDefault="002D5626" w:rsidP="002D5626">
      <w:pPr>
        <w:pStyle w:val="Normal0"/>
        <w:shd w:val="clear" w:color="auto" w:fill="FFFFFF"/>
        <w:spacing w:line="259" w:lineRule="auto"/>
        <w:jc w:val="both"/>
        <w:rPr>
          <w:rFonts w:eastAsia="Times New Roman"/>
        </w:rPr>
      </w:pPr>
      <w:r w:rsidRPr="00F712F2">
        <w:rPr>
          <w:rFonts w:eastAsia="Times New Roman"/>
        </w:rPr>
        <w:t xml:space="preserve">Por la cual se expide el Reglamento General de los Establecimientos de Reclusión del Orden Nacional – ERON a cargo del INPEC”. </w:t>
      </w:r>
    </w:p>
    <w:p w14:paraId="26AEC46A" w14:textId="77777777" w:rsidR="002D5626" w:rsidRPr="00F712F2" w:rsidRDefault="004178C5" w:rsidP="002D5626">
      <w:pPr>
        <w:pStyle w:val="Sinespaciado"/>
        <w:rPr>
          <w:lang w:val="es-ES_tradnl"/>
        </w:rPr>
      </w:pPr>
      <w:hyperlink r:id="rId12" w:history="1">
        <w:r w:rsidR="002D5626" w:rsidRPr="00F712F2">
          <w:rPr>
            <w:rStyle w:val="Hipervnculo"/>
            <w:lang w:val="es-ES_tradnl"/>
          </w:rPr>
          <w:t>https://scj.gov.co/es/transparencia/marco-legal/normatividad/resoluci%C3%B3n-6349-2016</w:t>
        </w:r>
      </w:hyperlink>
      <w:r w:rsidR="002D5626" w:rsidRPr="00F712F2">
        <w:rPr>
          <w:lang w:val="es-ES_tradnl"/>
        </w:rPr>
        <w:t xml:space="preserve"> </w:t>
      </w:r>
    </w:p>
    <w:p w14:paraId="19B1D035" w14:textId="77777777" w:rsidR="002D5626" w:rsidRPr="00F712F2" w:rsidRDefault="002D5626" w:rsidP="002D5626">
      <w:pPr>
        <w:pStyle w:val="Sinespaciado"/>
        <w:rPr>
          <w:lang w:val="es-ES_tradnl"/>
        </w:rPr>
      </w:pPr>
    </w:p>
    <w:p w14:paraId="558D2F7C" w14:textId="77777777" w:rsidR="002D5626" w:rsidRDefault="002D5626" w:rsidP="002D5626">
      <w:pPr>
        <w:pStyle w:val="Sinespaciado"/>
        <w:rPr>
          <w:lang w:val="es-ES_tradnl"/>
        </w:rPr>
      </w:pPr>
      <w:r w:rsidRPr="00F712F2">
        <w:rPr>
          <w:lang w:val="es-ES_tradnl"/>
        </w:rPr>
        <w:t xml:space="preserve"> Ley 65 de 1993, por la cual se expide el Código Penitenciario y Carcelario. </w:t>
      </w:r>
      <w:hyperlink r:id="rId13" w:history="1">
        <w:r w:rsidRPr="00F712F2">
          <w:rPr>
            <w:rStyle w:val="Hipervnculo"/>
            <w:lang w:val="es-ES_tradnl"/>
          </w:rPr>
          <w:t>http://www.secretariasenado.gov.co/senado/basedoc/ley_0065_1993.html</w:t>
        </w:r>
      </w:hyperlink>
      <w:r w:rsidRPr="00F712F2">
        <w:rPr>
          <w:lang w:val="es-ES_tradnl"/>
        </w:rPr>
        <w:t xml:space="preserve"> </w:t>
      </w:r>
    </w:p>
    <w:p w14:paraId="246384A9" w14:textId="77777777" w:rsidR="002D5626" w:rsidRDefault="002D5626" w:rsidP="002D5626">
      <w:pPr>
        <w:pStyle w:val="Sinespaciado"/>
        <w:rPr>
          <w:lang w:val="es-ES_tradnl"/>
        </w:rPr>
      </w:pPr>
    </w:p>
    <w:p w14:paraId="18E50E5B" w14:textId="77777777" w:rsidR="002D5626" w:rsidRDefault="002D5626" w:rsidP="002D5626">
      <w:pPr>
        <w:pStyle w:val="Sinespaciado"/>
        <w:rPr>
          <w:lang w:val="es-ES_tradnl"/>
        </w:rPr>
      </w:pPr>
      <w:r w:rsidRPr="00BA2A4F">
        <w:rPr>
          <w:lang w:val="es-ES_tradnl"/>
        </w:rPr>
        <w:t>ALERTA TEMPRANA N° 014-2024, DE INMINENCIA</w:t>
      </w:r>
      <w:r>
        <w:rPr>
          <w:lang w:val="es-ES_tradnl"/>
        </w:rPr>
        <w:t xml:space="preserve">.  </w:t>
      </w:r>
    </w:p>
    <w:p w14:paraId="26646D10" w14:textId="77777777" w:rsidR="002D5626" w:rsidRPr="00F712F2" w:rsidRDefault="002D5626" w:rsidP="002D5626">
      <w:pPr>
        <w:pStyle w:val="Sinespaciado"/>
        <w:rPr>
          <w:lang w:val="es-ES_tradnl"/>
        </w:rPr>
      </w:pPr>
      <w:r>
        <w:rPr>
          <w:lang w:val="es-ES_tradnl"/>
        </w:rPr>
        <w:t>Chrome</w:t>
      </w:r>
      <w:r w:rsidRPr="00BA2A4F">
        <w:rPr>
          <w:lang w:val="es-ES_tradnl"/>
        </w:rPr>
        <w:t>extension://efaidnbmnnnibpcajpcglclefindmkaj/https://alertasstg.blob.core.windows.net/alertas/014-24.pdf</w:t>
      </w:r>
      <w:r>
        <w:rPr>
          <w:lang w:val="es-ES_tradnl"/>
        </w:rPr>
        <w:t xml:space="preserve"> </w:t>
      </w:r>
    </w:p>
    <w:p w14:paraId="28A7CD41" w14:textId="4879F1CE" w:rsidR="002D5626" w:rsidRDefault="002D5626" w:rsidP="000757FB">
      <w:pPr>
        <w:pStyle w:val="Sinespaciado"/>
        <w:rPr>
          <w:lang w:val="es-ES_tradnl"/>
        </w:rPr>
      </w:pPr>
    </w:p>
    <w:p w14:paraId="6B8E5E2C" w14:textId="116A0110" w:rsidR="002D5626" w:rsidRDefault="002D5626" w:rsidP="000757FB">
      <w:pPr>
        <w:pStyle w:val="Sinespaciado"/>
        <w:rPr>
          <w:lang w:val="es-ES_tradnl"/>
        </w:rPr>
      </w:pPr>
    </w:p>
    <w:p w14:paraId="62BAF481" w14:textId="7C23D1A0" w:rsidR="002D5626" w:rsidRDefault="002D5626" w:rsidP="000757FB">
      <w:pPr>
        <w:pStyle w:val="Sinespaciado"/>
        <w:rPr>
          <w:lang w:val="es-ES_tradnl"/>
        </w:rPr>
      </w:pPr>
    </w:p>
    <w:p w14:paraId="58C45992" w14:textId="77777777" w:rsidR="002D5626" w:rsidRPr="00F712F2" w:rsidRDefault="002D5626" w:rsidP="000757FB">
      <w:pPr>
        <w:pStyle w:val="Sinespaciado"/>
        <w:rPr>
          <w:lang w:val="es-ES_tradnl"/>
        </w:rPr>
      </w:pPr>
    </w:p>
    <w:p w14:paraId="2EBB06E6" w14:textId="4DE3B155" w:rsidR="00876927" w:rsidRDefault="00876927" w:rsidP="002D5626">
      <w:pPr>
        <w:pStyle w:val="Normal0"/>
        <w:numPr>
          <w:ilvl w:val="0"/>
          <w:numId w:val="32"/>
        </w:numPr>
        <w:shd w:val="clear" w:color="auto" w:fill="FFFFFF"/>
        <w:spacing w:line="259" w:lineRule="auto"/>
        <w:jc w:val="both"/>
        <w:rPr>
          <w:rFonts w:eastAsia="Times New Roman"/>
          <w:b/>
        </w:rPr>
      </w:pPr>
      <w:r w:rsidRPr="00F712F2">
        <w:rPr>
          <w:rFonts w:eastAsia="Times New Roman"/>
          <w:b/>
        </w:rPr>
        <w:t>PROPOSICIÓN</w:t>
      </w:r>
    </w:p>
    <w:p w14:paraId="781C8050" w14:textId="77777777" w:rsidR="002D5626" w:rsidRPr="00F712F2" w:rsidRDefault="002D5626" w:rsidP="002D5626">
      <w:pPr>
        <w:pStyle w:val="Normal0"/>
        <w:shd w:val="clear" w:color="auto" w:fill="FFFFFF"/>
        <w:spacing w:line="259" w:lineRule="auto"/>
        <w:ind w:left="1080"/>
        <w:jc w:val="both"/>
        <w:rPr>
          <w:rFonts w:eastAsia="Times New Roman"/>
          <w:b/>
        </w:rPr>
      </w:pPr>
    </w:p>
    <w:p w14:paraId="5804623F" w14:textId="23467E89" w:rsidR="00876927" w:rsidRPr="002D5626" w:rsidRDefault="00876927" w:rsidP="00876927">
      <w:pPr>
        <w:pStyle w:val="Normal0"/>
        <w:shd w:val="clear" w:color="auto" w:fill="FFFFFF"/>
        <w:spacing w:line="259" w:lineRule="auto"/>
        <w:jc w:val="both"/>
        <w:rPr>
          <w:rFonts w:eastAsia="Times New Roman"/>
        </w:rPr>
      </w:pPr>
      <w:r w:rsidRPr="00F712F2">
        <w:rPr>
          <w:rFonts w:eastAsia="Times New Roman"/>
        </w:rPr>
        <w:t>Con base en lo anteriormente expuesto y con fundamento en lo estipulado en la Ley 5ª de 1992 presento informe de Ponencia Positiva y en consecuencia solicito</w:t>
      </w:r>
      <w:r w:rsidR="00986683" w:rsidRPr="00F712F2">
        <w:rPr>
          <w:rFonts w:eastAsia="Times New Roman"/>
        </w:rPr>
        <w:t xml:space="preserve"> a la honorable Comisión Primera </w:t>
      </w:r>
      <w:r w:rsidRPr="00F712F2">
        <w:rPr>
          <w:rFonts w:eastAsia="Times New Roman"/>
        </w:rPr>
        <w:t>Constitucional Permanente dar trámite al primer de</w:t>
      </w:r>
      <w:r w:rsidR="00986683" w:rsidRPr="00F712F2">
        <w:rPr>
          <w:rFonts w:eastAsia="Times New Roman"/>
        </w:rPr>
        <w:t>bate del Proyecto de Ley No. 585 de 2025</w:t>
      </w:r>
      <w:r w:rsidRPr="00F712F2">
        <w:rPr>
          <w:rFonts w:eastAsia="Times New Roman"/>
        </w:rPr>
        <w:t xml:space="preserve"> Cámara, </w:t>
      </w:r>
      <w:r w:rsidR="00986683" w:rsidRPr="00F712F2">
        <w:rPr>
          <w:rFonts w:eastAsia="Times New Roman"/>
          <w:b/>
          <w:i/>
        </w:rPr>
        <w:t>“Por Medio Del Cual Se Crea El Delito De ‘Ingreso De Elementos Prohibidos A Establecimientos De Reclusión’</w:t>
      </w:r>
      <w:r w:rsidR="002D5626">
        <w:rPr>
          <w:rFonts w:eastAsia="Times New Roman"/>
          <w:b/>
          <w:i/>
        </w:rPr>
        <w:t xml:space="preserve"> </w:t>
      </w:r>
      <w:r w:rsidR="002D5626">
        <w:rPr>
          <w:rFonts w:eastAsia="Times New Roman"/>
        </w:rPr>
        <w:t xml:space="preserve">conforme al texto propuesto. </w:t>
      </w:r>
    </w:p>
    <w:p w14:paraId="557C5A14" w14:textId="61C74A65" w:rsidR="00986683" w:rsidRPr="00F712F2" w:rsidRDefault="00986683" w:rsidP="000757FB">
      <w:pPr>
        <w:pStyle w:val="Sinespaciado"/>
        <w:rPr>
          <w:lang w:val="es-ES_tradnl"/>
        </w:rPr>
      </w:pPr>
    </w:p>
    <w:p w14:paraId="357DF7EF" w14:textId="3C9D4D3D" w:rsidR="00F712F2" w:rsidRPr="00F712F2" w:rsidRDefault="00F712F2" w:rsidP="000757FB">
      <w:pPr>
        <w:pStyle w:val="Sinespaciado"/>
        <w:rPr>
          <w:lang w:val="es-ES_tradnl"/>
        </w:rPr>
      </w:pPr>
    </w:p>
    <w:p w14:paraId="79A8E696" w14:textId="77777777" w:rsidR="00F712F2" w:rsidRPr="00F712F2" w:rsidRDefault="00F712F2" w:rsidP="000757FB">
      <w:pPr>
        <w:pStyle w:val="Sinespaciado"/>
        <w:rPr>
          <w:lang w:val="es-ES_tradnl"/>
        </w:rPr>
      </w:pPr>
    </w:p>
    <w:p w14:paraId="5D795857" w14:textId="133EF094" w:rsidR="00986683" w:rsidRPr="00F712F2" w:rsidRDefault="00986683" w:rsidP="000757FB">
      <w:pPr>
        <w:pStyle w:val="Sinespaciado"/>
        <w:rPr>
          <w:b/>
          <w:lang w:val="es-ES_tradnl"/>
        </w:rPr>
      </w:pPr>
    </w:p>
    <w:p w14:paraId="70A0119D" w14:textId="26BC8F44" w:rsidR="00986683" w:rsidRPr="00F712F2" w:rsidRDefault="00986683" w:rsidP="000757FB">
      <w:pPr>
        <w:pStyle w:val="Sinespaciado"/>
        <w:rPr>
          <w:b/>
          <w:lang w:val="es-ES_tradnl"/>
        </w:rPr>
      </w:pPr>
      <w:r w:rsidRPr="00F712F2">
        <w:rPr>
          <w:b/>
          <w:lang w:val="es-ES_tradnl"/>
        </w:rPr>
        <w:t xml:space="preserve">GERSEL LUIS PEREZ ALTAMIRANDA </w:t>
      </w:r>
    </w:p>
    <w:p w14:paraId="67255110" w14:textId="5510C993" w:rsidR="00986683" w:rsidRPr="00F712F2" w:rsidRDefault="00986683" w:rsidP="000757FB">
      <w:pPr>
        <w:pStyle w:val="Sinespaciado"/>
        <w:rPr>
          <w:lang w:val="es-ES_tradnl"/>
        </w:rPr>
      </w:pPr>
      <w:r w:rsidRPr="00F712F2">
        <w:rPr>
          <w:lang w:val="es-ES_tradnl"/>
        </w:rPr>
        <w:t>Representante a la Cámara</w:t>
      </w:r>
    </w:p>
    <w:p w14:paraId="6EAAE6A3" w14:textId="34A15261" w:rsidR="00876927" w:rsidRDefault="00986683" w:rsidP="00876927">
      <w:pPr>
        <w:pStyle w:val="Sinespaciado"/>
        <w:rPr>
          <w:lang w:val="es-ES_tradnl"/>
        </w:rPr>
      </w:pPr>
      <w:r w:rsidRPr="00F712F2">
        <w:rPr>
          <w:lang w:val="es-ES_tradnl"/>
        </w:rPr>
        <w:t xml:space="preserve">Departamento del Atlántico </w:t>
      </w:r>
      <w:bookmarkEnd w:id="0"/>
      <w:bookmarkEnd w:id="5"/>
    </w:p>
    <w:p w14:paraId="2BE21C98" w14:textId="1C6FC664" w:rsidR="00BA2A4F" w:rsidRDefault="00BA2A4F" w:rsidP="00876927">
      <w:pPr>
        <w:pStyle w:val="Sinespaciado"/>
        <w:rPr>
          <w:lang w:val="es-ES_tradnl"/>
        </w:rPr>
      </w:pPr>
    </w:p>
    <w:p w14:paraId="071AB5A3" w14:textId="26B6D062" w:rsidR="00BA2A4F" w:rsidRDefault="00BA2A4F" w:rsidP="00876927">
      <w:pPr>
        <w:pStyle w:val="Sinespaciado"/>
        <w:rPr>
          <w:lang w:val="es-ES_tradnl"/>
        </w:rPr>
      </w:pPr>
    </w:p>
    <w:p w14:paraId="4E6512D9" w14:textId="1690E11B" w:rsidR="00BA2A4F" w:rsidRDefault="00BA2A4F" w:rsidP="00876927">
      <w:pPr>
        <w:pStyle w:val="Sinespaciado"/>
        <w:rPr>
          <w:lang w:val="es-ES_tradnl"/>
        </w:rPr>
      </w:pPr>
    </w:p>
    <w:p w14:paraId="4F188D38" w14:textId="7BEE70F6" w:rsidR="00BA2A4F" w:rsidRDefault="00BA2A4F" w:rsidP="00876927">
      <w:pPr>
        <w:pStyle w:val="Sinespaciado"/>
        <w:rPr>
          <w:lang w:val="es-ES_tradnl"/>
        </w:rPr>
      </w:pPr>
    </w:p>
    <w:p w14:paraId="0570827C" w14:textId="484A7EED" w:rsidR="00BA2A4F" w:rsidRDefault="00BA2A4F" w:rsidP="00876927">
      <w:pPr>
        <w:pStyle w:val="Sinespaciado"/>
        <w:rPr>
          <w:lang w:val="es-ES_tradnl"/>
        </w:rPr>
      </w:pPr>
    </w:p>
    <w:p w14:paraId="6CF4268F" w14:textId="6D781B55" w:rsidR="00BA2A4F" w:rsidRDefault="00BA2A4F" w:rsidP="00876927">
      <w:pPr>
        <w:pStyle w:val="Sinespaciado"/>
        <w:rPr>
          <w:lang w:val="es-ES_tradnl"/>
        </w:rPr>
      </w:pPr>
    </w:p>
    <w:p w14:paraId="33BD6E90" w14:textId="05474655" w:rsidR="00BA2A4F" w:rsidRDefault="00BA2A4F" w:rsidP="00876927">
      <w:pPr>
        <w:pStyle w:val="Sinespaciado"/>
        <w:rPr>
          <w:lang w:val="es-ES_tradnl"/>
        </w:rPr>
      </w:pPr>
    </w:p>
    <w:p w14:paraId="1A61F150" w14:textId="3A735A03" w:rsidR="00BA2A4F" w:rsidRDefault="00BA2A4F" w:rsidP="00876927">
      <w:pPr>
        <w:pStyle w:val="Sinespaciado"/>
        <w:rPr>
          <w:lang w:val="es-ES_tradnl"/>
        </w:rPr>
      </w:pPr>
    </w:p>
    <w:p w14:paraId="7650F7A8" w14:textId="1B39EEAE" w:rsidR="00BA2A4F" w:rsidRDefault="00BA2A4F" w:rsidP="00876927">
      <w:pPr>
        <w:pStyle w:val="Sinespaciado"/>
        <w:rPr>
          <w:lang w:val="es-ES_tradnl"/>
        </w:rPr>
      </w:pPr>
    </w:p>
    <w:p w14:paraId="18864C6D" w14:textId="732EA273" w:rsidR="00BA2A4F" w:rsidRDefault="00BA2A4F" w:rsidP="00876927">
      <w:pPr>
        <w:pStyle w:val="Sinespaciado"/>
        <w:rPr>
          <w:lang w:val="es-ES_tradnl"/>
        </w:rPr>
      </w:pPr>
    </w:p>
    <w:p w14:paraId="5F1B0019" w14:textId="29DFB5B2" w:rsidR="00BA2A4F" w:rsidRDefault="00BA2A4F" w:rsidP="00876927">
      <w:pPr>
        <w:pStyle w:val="Sinespaciado"/>
        <w:rPr>
          <w:lang w:val="es-ES_tradnl"/>
        </w:rPr>
      </w:pPr>
    </w:p>
    <w:p w14:paraId="064A35C0" w14:textId="67FCB02F" w:rsidR="00BA2A4F" w:rsidRDefault="00BA2A4F" w:rsidP="00876927">
      <w:pPr>
        <w:pStyle w:val="Sinespaciado"/>
        <w:rPr>
          <w:lang w:val="es-ES_tradnl"/>
        </w:rPr>
      </w:pPr>
    </w:p>
    <w:p w14:paraId="63FFE612" w14:textId="6B2A2910" w:rsidR="00BA2A4F" w:rsidRDefault="00BA2A4F" w:rsidP="00876927">
      <w:pPr>
        <w:pStyle w:val="Sinespaciado"/>
        <w:rPr>
          <w:lang w:val="es-ES_tradnl"/>
        </w:rPr>
      </w:pPr>
    </w:p>
    <w:p w14:paraId="4B763390" w14:textId="10A4F2C2" w:rsidR="00BA2A4F" w:rsidRDefault="00BA2A4F" w:rsidP="00876927">
      <w:pPr>
        <w:pStyle w:val="Sinespaciado"/>
        <w:rPr>
          <w:lang w:val="es-ES_tradnl"/>
        </w:rPr>
      </w:pPr>
    </w:p>
    <w:p w14:paraId="2301AEFB" w14:textId="12A296FF" w:rsidR="00BA2A4F" w:rsidRDefault="00BA2A4F" w:rsidP="00876927">
      <w:pPr>
        <w:pStyle w:val="Sinespaciado"/>
        <w:rPr>
          <w:lang w:val="es-ES_tradnl"/>
        </w:rPr>
      </w:pPr>
    </w:p>
    <w:p w14:paraId="028776E1" w14:textId="21E838BB" w:rsidR="00BA2A4F" w:rsidRDefault="00BA2A4F" w:rsidP="00876927">
      <w:pPr>
        <w:pStyle w:val="Sinespaciado"/>
        <w:rPr>
          <w:lang w:val="es-ES_tradnl"/>
        </w:rPr>
      </w:pPr>
    </w:p>
    <w:p w14:paraId="64D5311B" w14:textId="61C9BB1D" w:rsidR="00BA2A4F" w:rsidRDefault="00BA2A4F" w:rsidP="00876927">
      <w:pPr>
        <w:pStyle w:val="Sinespaciado"/>
        <w:rPr>
          <w:lang w:val="es-ES_tradnl"/>
        </w:rPr>
      </w:pPr>
    </w:p>
    <w:p w14:paraId="131C2D5E" w14:textId="3B051CDB" w:rsidR="00BA2A4F" w:rsidRDefault="00BA2A4F" w:rsidP="00876927">
      <w:pPr>
        <w:pStyle w:val="Sinespaciado"/>
        <w:rPr>
          <w:lang w:val="es-ES_tradnl"/>
        </w:rPr>
      </w:pPr>
    </w:p>
    <w:p w14:paraId="0C3FC91E" w14:textId="7FAD25E7" w:rsidR="00BA2A4F" w:rsidRDefault="00BA2A4F" w:rsidP="00876927">
      <w:pPr>
        <w:pStyle w:val="Sinespaciado"/>
        <w:rPr>
          <w:lang w:val="es-ES_tradnl"/>
        </w:rPr>
      </w:pPr>
    </w:p>
    <w:p w14:paraId="30941664" w14:textId="3C2BBD64" w:rsidR="002D5626" w:rsidRDefault="002D5626" w:rsidP="00876927">
      <w:pPr>
        <w:pStyle w:val="Sinespaciado"/>
        <w:rPr>
          <w:lang w:val="es-ES_tradnl"/>
        </w:rPr>
      </w:pPr>
    </w:p>
    <w:p w14:paraId="750D6E9B" w14:textId="1F5922E0" w:rsidR="002D5626" w:rsidRDefault="002D5626" w:rsidP="00876927">
      <w:pPr>
        <w:pStyle w:val="Sinespaciado"/>
        <w:rPr>
          <w:lang w:val="es-ES_tradnl"/>
        </w:rPr>
      </w:pPr>
    </w:p>
    <w:p w14:paraId="399BBAE0" w14:textId="265CF280" w:rsidR="002D5626" w:rsidRDefault="002D5626" w:rsidP="00876927">
      <w:pPr>
        <w:pStyle w:val="Sinespaciado"/>
        <w:rPr>
          <w:lang w:val="es-ES_tradnl"/>
        </w:rPr>
      </w:pPr>
    </w:p>
    <w:p w14:paraId="56CFEB25" w14:textId="017CD1B2" w:rsidR="002D5626" w:rsidRDefault="002D5626" w:rsidP="00876927">
      <w:pPr>
        <w:pStyle w:val="Sinespaciado"/>
        <w:rPr>
          <w:lang w:val="es-ES_tradnl"/>
        </w:rPr>
      </w:pPr>
    </w:p>
    <w:p w14:paraId="2C8558AE" w14:textId="12A7DBD7" w:rsidR="002D5626" w:rsidRDefault="002D5626" w:rsidP="00876927">
      <w:pPr>
        <w:pStyle w:val="Sinespaciado"/>
        <w:rPr>
          <w:lang w:val="es-ES_tradnl"/>
        </w:rPr>
      </w:pPr>
    </w:p>
    <w:p w14:paraId="4CA970CD" w14:textId="1B5958AE" w:rsidR="002D5626" w:rsidRDefault="002D5626" w:rsidP="00876927">
      <w:pPr>
        <w:pStyle w:val="Sinespaciado"/>
        <w:rPr>
          <w:lang w:val="es-ES_tradnl"/>
        </w:rPr>
      </w:pPr>
    </w:p>
    <w:p w14:paraId="4DABD218" w14:textId="53A7B61D" w:rsidR="002D5626" w:rsidRDefault="002D5626" w:rsidP="00876927">
      <w:pPr>
        <w:pStyle w:val="Sinespaciado"/>
        <w:rPr>
          <w:lang w:val="es-ES_tradnl"/>
        </w:rPr>
      </w:pPr>
    </w:p>
    <w:p w14:paraId="640256BE" w14:textId="48C6998E" w:rsidR="002D5626" w:rsidRDefault="002D5626" w:rsidP="00876927">
      <w:pPr>
        <w:pStyle w:val="Sinespaciado"/>
        <w:rPr>
          <w:lang w:val="es-ES_tradnl"/>
        </w:rPr>
      </w:pPr>
    </w:p>
    <w:p w14:paraId="05FDB0F6" w14:textId="707A6EB5" w:rsidR="002D5626" w:rsidRDefault="002D5626" w:rsidP="00876927">
      <w:pPr>
        <w:pStyle w:val="Sinespaciado"/>
        <w:rPr>
          <w:lang w:val="es-ES_tradnl"/>
        </w:rPr>
      </w:pPr>
    </w:p>
    <w:p w14:paraId="23F60F71" w14:textId="31BB14EE" w:rsidR="002D5626" w:rsidRDefault="002D5626" w:rsidP="00876927">
      <w:pPr>
        <w:pStyle w:val="Sinespaciado"/>
        <w:rPr>
          <w:lang w:val="es-ES_tradnl"/>
        </w:rPr>
      </w:pPr>
    </w:p>
    <w:p w14:paraId="711EAEBF" w14:textId="4122CFBF" w:rsidR="002D5626" w:rsidRDefault="002D5626" w:rsidP="00876927">
      <w:pPr>
        <w:pStyle w:val="Sinespaciado"/>
        <w:rPr>
          <w:lang w:val="es-ES_tradnl"/>
        </w:rPr>
      </w:pPr>
    </w:p>
    <w:p w14:paraId="6F889DB0" w14:textId="77777777" w:rsidR="002D5626" w:rsidRPr="00F712F2" w:rsidRDefault="002D5626" w:rsidP="00876927">
      <w:pPr>
        <w:pStyle w:val="Sinespaciado"/>
        <w:rPr>
          <w:lang w:val="es-ES_tradnl"/>
        </w:rPr>
      </w:pPr>
    </w:p>
    <w:p w14:paraId="3013C74B" w14:textId="093E58B6" w:rsidR="00876927" w:rsidRDefault="00876927" w:rsidP="00876927">
      <w:pPr>
        <w:pStyle w:val="Sinespaciado"/>
        <w:rPr>
          <w:lang w:val="es-ES_tradnl"/>
        </w:rPr>
      </w:pPr>
    </w:p>
    <w:p w14:paraId="7A22537A" w14:textId="052DE276" w:rsidR="002D5626" w:rsidRPr="00F712F2" w:rsidRDefault="002D5626" w:rsidP="00876927">
      <w:pPr>
        <w:pStyle w:val="Sinespaciado"/>
        <w:rPr>
          <w:lang w:val="es-ES_tradnl"/>
        </w:rPr>
      </w:pPr>
    </w:p>
    <w:p w14:paraId="0DA7D2E4" w14:textId="76E338FB" w:rsidR="00876927" w:rsidRPr="00F712F2" w:rsidRDefault="00876927" w:rsidP="00876927">
      <w:pPr>
        <w:tabs>
          <w:tab w:val="left" w:pos="2190"/>
        </w:tabs>
        <w:jc w:val="both"/>
        <w:rPr>
          <w:rFonts w:eastAsia="Red Hat Display"/>
        </w:rPr>
      </w:pPr>
    </w:p>
    <w:p w14:paraId="255DE408" w14:textId="2AD43908" w:rsidR="00986683" w:rsidRPr="00F712F2" w:rsidRDefault="00876927" w:rsidP="00986683">
      <w:pPr>
        <w:pBdr>
          <w:top w:val="nil"/>
          <w:left w:val="nil"/>
          <w:bottom w:val="nil"/>
          <w:right w:val="nil"/>
          <w:between w:val="nil"/>
        </w:pBdr>
        <w:jc w:val="center"/>
        <w:rPr>
          <w:b/>
        </w:rPr>
      </w:pPr>
      <w:r w:rsidRPr="00F712F2">
        <w:rPr>
          <w:rFonts w:eastAsia="Garamond"/>
          <w:b/>
          <w:color w:val="000000"/>
        </w:rPr>
        <w:t xml:space="preserve">TEXTO PROPUESTO PARA PRIMER DEBATE DEL </w:t>
      </w:r>
      <w:r w:rsidR="00986683" w:rsidRPr="00F712F2">
        <w:rPr>
          <w:b/>
        </w:rPr>
        <w:t xml:space="preserve">PROYECTO DE LEY No. </w:t>
      </w:r>
      <w:r w:rsidR="00986683" w:rsidRPr="00F712F2">
        <w:rPr>
          <w:b/>
          <w:lang w:val="es-CO"/>
        </w:rPr>
        <w:t xml:space="preserve">585 </w:t>
      </w:r>
      <w:r w:rsidR="00986683" w:rsidRPr="00F712F2">
        <w:rPr>
          <w:b/>
        </w:rPr>
        <w:t>DE 2025</w:t>
      </w:r>
    </w:p>
    <w:p w14:paraId="45E1B60C" w14:textId="77777777" w:rsidR="00986683" w:rsidRPr="00F712F2" w:rsidRDefault="00986683" w:rsidP="00986683">
      <w:pPr>
        <w:spacing w:line="240" w:lineRule="auto"/>
        <w:jc w:val="center"/>
        <w:rPr>
          <w:b/>
          <w:bCs/>
        </w:rPr>
      </w:pPr>
      <w:r w:rsidRPr="00F712F2">
        <w:rPr>
          <w:b/>
          <w:bCs/>
        </w:rPr>
        <w:t xml:space="preserve">“POR MEDIO DEL CUAL SE CREA EL DELITO DE </w:t>
      </w:r>
      <w:r w:rsidRPr="00F712F2">
        <w:rPr>
          <w:b/>
          <w:bCs/>
          <w:i/>
          <w:iCs/>
        </w:rPr>
        <w:t>‘INGRESO DE ELEMENTOS PROHIBIDOS A ESTABLECIMIENTOS DE RECLUSIÓN’</w:t>
      </w:r>
      <w:r w:rsidRPr="00F712F2">
        <w:rPr>
          <w:b/>
          <w:bCs/>
        </w:rPr>
        <w:t>”</w:t>
      </w:r>
    </w:p>
    <w:p w14:paraId="7F11B91B" w14:textId="77777777" w:rsidR="00986683" w:rsidRPr="00F712F2" w:rsidRDefault="00986683" w:rsidP="00986683">
      <w:pPr>
        <w:spacing w:line="240" w:lineRule="auto"/>
        <w:jc w:val="center"/>
        <w:rPr>
          <w:b/>
          <w:bCs/>
        </w:rPr>
      </w:pPr>
    </w:p>
    <w:p w14:paraId="65F73D56" w14:textId="77777777" w:rsidR="00986683" w:rsidRPr="00F712F2" w:rsidRDefault="00986683" w:rsidP="00986683">
      <w:pPr>
        <w:spacing w:line="240" w:lineRule="auto"/>
        <w:jc w:val="center"/>
        <w:rPr>
          <w:b/>
        </w:rPr>
      </w:pPr>
      <w:r w:rsidRPr="00F712F2">
        <w:rPr>
          <w:b/>
        </w:rPr>
        <w:t>El Congreso de Colombia</w:t>
      </w:r>
    </w:p>
    <w:p w14:paraId="58F9083F" w14:textId="77777777" w:rsidR="00986683" w:rsidRPr="00F712F2" w:rsidRDefault="00986683" w:rsidP="00986683">
      <w:pPr>
        <w:spacing w:line="240" w:lineRule="auto"/>
        <w:jc w:val="both"/>
        <w:rPr>
          <w:b/>
        </w:rPr>
      </w:pPr>
    </w:p>
    <w:p w14:paraId="64BE4A54" w14:textId="77777777" w:rsidR="00986683" w:rsidRPr="00F712F2" w:rsidRDefault="00986683" w:rsidP="00986683">
      <w:pPr>
        <w:spacing w:line="240" w:lineRule="auto"/>
        <w:jc w:val="center"/>
        <w:rPr>
          <w:b/>
        </w:rPr>
      </w:pPr>
      <w:r w:rsidRPr="00F712F2">
        <w:rPr>
          <w:b/>
        </w:rPr>
        <w:t>DECRETA:</w:t>
      </w:r>
    </w:p>
    <w:p w14:paraId="73365280" w14:textId="77777777" w:rsidR="00986683" w:rsidRPr="00F712F2" w:rsidRDefault="00986683" w:rsidP="00986683">
      <w:pPr>
        <w:spacing w:line="240" w:lineRule="auto"/>
        <w:jc w:val="center"/>
        <w:rPr>
          <w:b/>
        </w:rPr>
      </w:pPr>
    </w:p>
    <w:p w14:paraId="0607FE7A" w14:textId="77777777" w:rsidR="00986683" w:rsidRPr="00F712F2" w:rsidRDefault="00986683" w:rsidP="00986683">
      <w:pPr>
        <w:spacing w:line="240" w:lineRule="auto"/>
        <w:jc w:val="both"/>
        <w:rPr>
          <w:bCs/>
          <w:shd w:val="clear" w:color="auto" w:fill="FFFFFF"/>
        </w:rPr>
      </w:pPr>
      <w:r w:rsidRPr="00F712F2">
        <w:rPr>
          <w:b/>
          <w:bCs/>
        </w:rPr>
        <w:t xml:space="preserve">ARTÍCULO 1o. </w:t>
      </w:r>
      <w:r w:rsidRPr="00F712F2">
        <w:rPr>
          <w:bCs/>
          <w:shd w:val="clear" w:color="auto" w:fill="FFFFFF"/>
        </w:rPr>
        <w:t xml:space="preserve">Adiciónese a la Ley 599 de 24 de julio de 2000, por la cual se expide el Código Penal, el artículo 453A al Título XVI, relativo a los </w:t>
      </w:r>
      <w:r w:rsidRPr="00F712F2">
        <w:rPr>
          <w:bCs/>
          <w:i/>
          <w:iCs/>
          <w:shd w:val="clear" w:color="auto" w:fill="FFFFFF"/>
        </w:rPr>
        <w:t>“Delitos contra la eficaz y recta impartición de justicia”</w:t>
      </w:r>
      <w:r w:rsidRPr="00F712F2">
        <w:rPr>
          <w:bCs/>
          <w:shd w:val="clear" w:color="auto" w:fill="FFFFFF"/>
        </w:rPr>
        <w:t xml:space="preserve">, capítulo octavo </w:t>
      </w:r>
      <w:r w:rsidRPr="00F712F2">
        <w:rPr>
          <w:bCs/>
          <w:i/>
          <w:iCs/>
          <w:shd w:val="clear" w:color="auto" w:fill="FFFFFF"/>
        </w:rPr>
        <w:t>“Del fraude procesal y otras infracciones”</w:t>
      </w:r>
      <w:r w:rsidRPr="00F712F2">
        <w:rPr>
          <w:bCs/>
          <w:shd w:val="clear" w:color="auto" w:fill="FFFFFF"/>
        </w:rPr>
        <w:t>, el cual quedará así:</w:t>
      </w:r>
    </w:p>
    <w:p w14:paraId="7BBA391A" w14:textId="77777777" w:rsidR="00986683" w:rsidRPr="00F712F2" w:rsidRDefault="00986683" w:rsidP="00986683">
      <w:pPr>
        <w:spacing w:line="240" w:lineRule="auto"/>
        <w:jc w:val="both"/>
        <w:rPr>
          <w:b/>
        </w:rPr>
      </w:pPr>
    </w:p>
    <w:p w14:paraId="322D8FC9" w14:textId="77777777" w:rsidR="00986683" w:rsidRPr="00F712F2" w:rsidRDefault="00986683" w:rsidP="00986683">
      <w:pPr>
        <w:ind w:left="851" w:right="900"/>
        <w:jc w:val="both"/>
        <w:rPr>
          <w:i/>
        </w:rPr>
      </w:pPr>
      <w:r w:rsidRPr="00F712F2">
        <w:rPr>
          <w:b/>
          <w:bCs/>
          <w:i/>
        </w:rPr>
        <w:t>ARTÍCULO 453A. INGRESO DE ELEMENTOS PROHIBIDOS A ESTABLECIMIENTOS DE RECLUSIÓN</w:t>
      </w:r>
      <w:r w:rsidRPr="00F712F2">
        <w:rPr>
          <w:rStyle w:val="Refdenotaalpie"/>
          <w:b/>
          <w:bCs/>
          <w:i/>
        </w:rPr>
        <w:footnoteReference w:id="1"/>
      </w:r>
      <w:r w:rsidRPr="00F712F2">
        <w:rPr>
          <w:b/>
          <w:bCs/>
          <w:i/>
        </w:rPr>
        <w:t>.</w:t>
      </w:r>
      <w:r w:rsidRPr="00F712F2">
        <w:rPr>
          <w:i/>
        </w:rPr>
        <w:t xml:space="preserve"> El que intente, permita, facilite o ingrese elementos prohibidos o no permitidos a un establecimiento de reclusión, incurrirá en una pena privativa de la libertad de 72 a 168 meses, multa de 100 a 300 SMLMV e inhabilitación para el ejercicio de derechos y funciones públicas por el mismo tiempo de la pena de prisión.</w:t>
      </w:r>
    </w:p>
    <w:p w14:paraId="18F1D6E2" w14:textId="07AA5322" w:rsidR="00986683" w:rsidRPr="00F712F2" w:rsidRDefault="00986683" w:rsidP="00986683">
      <w:pPr>
        <w:ind w:left="851" w:right="900"/>
        <w:jc w:val="both"/>
        <w:rPr>
          <w:i/>
        </w:rPr>
      </w:pPr>
      <w:r w:rsidRPr="00F712F2">
        <w:rPr>
          <w:i/>
        </w:rPr>
        <w:t>El que para tal fin instrumentalice a otro, la pena será de 84 a 180 meses. Cuando el instrumentalizado sea un niño, niña o adolescente, la pena será de 96 a 192 meses de prisión.</w:t>
      </w:r>
    </w:p>
    <w:p w14:paraId="2C440722" w14:textId="48D27DA4" w:rsidR="00986683" w:rsidRPr="00F712F2" w:rsidRDefault="00986683" w:rsidP="00986683">
      <w:pPr>
        <w:ind w:left="851" w:right="900"/>
        <w:jc w:val="both"/>
        <w:rPr>
          <w:i/>
        </w:rPr>
      </w:pPr>
    </w:p>
    <w:p w14:paraId="5BBB80B0" w14:textId="77777777" w:rsidR="00986683" w:rsidRPr="00F712F2" w:rsidRDefault="00986683" w:rsidP="00986683">
      <w:pPr>
        <w:spacing w:line="240" w:lineRule="auto"/>
        <w:ind w:left="851" w:right="900"/>
        <w:jc w:val="both"/>
        <w:rPr>
          <w:i/>
          <w:iCs/>
        </w:rPr>
      </w:pPr>
      <w:r w:rsidRPr="00F712F2">
        <w:rPr>
          <w:i/>
        </w:rPr>
        <w:t>Cuando la persona que incurra en esta conducta sea un servidor público, la pena se aumentará de la mitad a las tres quintas partes.</w:t>
      </w:r>
    </w:p>
    <w:p w14:paraId="4344D6C6" w14:textId="77777777" w:rsidR="00986683" w:rsidRPr="00F712F2" w:rsidRDefault="00986683" w:rsidP="00986683">
      <w:pPr>
        <w:spacing w:line="240" w:lineRule="auto"/>
        <w:ind w:left="851" w:right="900"/>
        <w:jc w:val="both"/>
        <w:rPr>
          <w:i/>
          <w:iCs/>
        </w:rPr>
      </w:pPr>
    </w:p>
    <w:p w14:paraId="5B433B07" w14:textId="00C565CF" w:rsidR="00986683" w:rsidRPr="00F712F2" w:rsidRDefault="00986683" w:rsidP="00986683">
      <w:pPr>
        <w:ind w:left="851" w:right="900"/>
        <w:jc w:val="both"/>
        <w:rPr>
          <w:i/>
        </w:rPr>
      </w:pPr>
      <w:r w:rsidRPr="00F712F2">
        <w:rPr>
          <w:b/>
          <w:i/>
        </w:rPr>
        <w:t>PARAGRAFO:</w:t>
      </w:r>
      <w:r w:rsidRPr="00F712F2">
        <w:rPr>
          <w:i/>
        </w:rPr>
        <w:t xml:space="preserve"> entiéndase por elementos prohibidos o no permitidos, los que para tal fin defina en Instituto Nacional Penitenciario y Carcelario – INPEC, los cuales </w:t>
      </w:r>
    </w:p>
    <w:p w14:paraId="2AF07208" w14:textId="023AE3B4" w:rsidR="00986683" w:rsidRPr="00F712F2" w:rsidRDefault="00986683" w:rsidP="00986683">
      <w:pPr>
        <w:ind w:left="851" w:right="900"/>
        <w:jc w:val="both"/>
        <w:rPr>
          <w:i/>
        </w:rPr>
      </w:pPr>
      <w:r w:rsidRPr="00F712F2">
        <w:rPr>
          <w:i/>
        </w:rPr>
        <w:t>en la actualidad están establecidos en la Resolución núm. 006349 de 19 de diciembre de 2016 expedida por el INPEC.</w:t>
      </w:r>
    </w:p>
    <w:p w14:paraId="65D0DDEB" w14:textId="77777777" w:rsidR="00986683" w:rsidRPr="00F712F2" w:rsidRDefault="00986683" w:rsidP="00986683">
      <w:pPr>
        <w:ind w:right="900"/>
        <w:jc w:val="both"/>
        <w:rPr>
          <w:i/>
        </w:rPr>
      </w:pPr>
    </w:p>
    <w:p w14:paraId="4B13F0AF" w14:textId="1E315685" w:rsidR="00986683" w:rsidRPr="00F712F2" w:rsidRDefault="00986683" w:rsidP="00986683">
      <w:pPr>
        <w:ind w:right="900"/>
        <w:jc w:val="both"/>
      </w:pPr>
      <w:r w:rsidRPr="00F712F2">
        <w:rPr>
          <w:b/>
        </w:rPr>
        <w:t>ARTÍCULO 2o.</w:t>
      </w:r>
      <w:r w:rsidRPr="00F712F2">
        <w:t xml:space="preserve"> Vigencia. La presente ley rige a partir de la fecha de su promulgación y deroga las disposiciones que le sean contrarias.</w:t>
      </w:r>
    </w:p>
    <w:p w14:paraId="73CA639F" w14:textId="4F01B995" w:rsidR="00986683" w:rsidRPr="00F712F2" w:rsidRDefault="00986683" w:rsidP="00986683">
      <w:pPr>
        <w:ind w:right="900"/>
        <w:jc w:val="both"/>
      </w:pPr>
    </w:p>
    <w:p w14:paraId="2FDF6435" w14:textId="283E297D" w:rsidR="00986683" w:rsidRPr="00F712F2" w:rsidRDefault="00986683" w:rsidP="00986683">
      <w:pPr>
        <w:ind w:right="900"/>
        <w:jc w:val="both"/>
      </w:pPr>
      <w:r w:rsidRPr="00F712F2">
        <w:t>Atentamente,</w:t>
      </w:r>
    </w:p>
    <w:p w14:paraId="07C1314D" w14:textId="77777777" w:rsidR="00986683" w:rsidRPr="00F712F2" w:rsidRDefault="00986683" w:rsidP="00986683">
      <w:pPr>
        <w:pStyle w:val="Sinespaciado"/>
        <w:rPr>
          <w:lang w:val="es-ES_tradnl"/>
        </w:rPr>
      </w:pPr>
    </w:p>
    <w:p w14:paraId="198CFEC3" w14:textId="77777777" w:rsidR="00986683" w:rsidRPr="00F712F2" w:rsidRDefault="00986683" w:rsidP="00986683">
      <w:pPr>
        <w:pStyle w:val="Sinespaciado"/>
        <w:rPr>
          <w:lang w:val="es-ES_tradnl"/>
        </w:rPr>
      </w:pPr>
    </w:p>
    <w:p w14:paraId="018ADE06" w14:textId="37016F12" w:rsidR="00986683" w:rsidRPr="00F712F2" w:rsidRDefault="00986683" w:rsidP="00986683">
      <w:pPr>
        <w:pStyle w:val="Sinespaciado"/>
        <w:rPr>
          <w:b/>
          <w:lang w:val="es-ES_tradnl"/>
        </w:rPr>
      </w:pPr>
    </w:p>
    <w:p w14:paraId="47745011" w14:textId="77777777" w:rsidR="00986683" w:rsidRPr="00F712F2" w:rsidRDefault="00986683" w:rsidP="00986683">
      <w:pPr>
        <w:pStyle w:val="Sinespaciado"/>
        <w:rPr>
          <w:b/>
          <w:lang w:val="es-ES_tradnl"/>
        </w:rPr>
      </w:pPr>
      <w:r w:rsidRPr="00F712F2">
        <w:rPr>
          <w:b/>
          <w:lang w:val="es-ES_tradnl"/>
        </w:rPr>
        <w:t xml:space="preserve">GERSEL LUIS PEREZ ALTAMIRANDA </w:t>
      </w:r>
    </w:p>
    <w:p w14:paraId="54306562" w14:textId="77777777" w:rsidR="00986683" w:rsidRPr="00F712F2" w:rsidRDefault="00986683" w:rsidP="00986683">
      <w:pPr>
        <w:pStyle w:val="Sinespaciado"/>
        <w:rPr>
          <w:lang w:val="es-ES_tradnl"/>
        </w:rPr>
      </w:pPr>
      <w:r w:rsidRPr="00F712F2">
        <w:rPr>
          <w:lang w:val="es-ES_tradnl"/>
        </w:rPr>
        <w:t>Representante a la Cámara</w:t>
      </w:r>
    </w:p>
    <w:p w14:paraId="5FAE314C" w14:textId="77777777" w:rsidR="00986683" w:rsidRPr="00F712F2" w:rsidRDefault="00986683" w:rsidP="00986683">
      <w:pPr>
        <w:pStyle w:val="Sinespaciado"/>
        <w:rPr>
          <w:lang w:val="es-ES_tradnl"/>
        </w:rPr>
      </w:pPr>
      <w:r w:rsidRPr="00F712F2">
        <w:rPr>
          <w:lang w:val="es-ES_tradnl"/>
        </w:rPr>
        <w:t xml:space="preserve">Departamento del Atlántico </w:t>
      </w:r>
    </w:p>
    <w:sectPr w:rsidR="00986683" w:rsidRPr="00F712F2" w:rsidSect="00BB4977">
      <w:headerReference w:type="default" r:id="rId14"/>
      <w:footerReference w:type="default" r:id="rId15"/>
      <w:pgSz w:w="12240" w:h="15840"/>
      <w:pgMar w:top="1418" w:right="1043" w:bottom="1418" w:left="1134" w:header="113" w:footer="57"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C40D845" w14:textId="77777777" w:rsidR="004178C5" w:rsidRDefault="004178C5">
      <w:pPr>
        <w:spacing w:line="240" w:lineRule="auto"/>
      </w:pPr>
      <w:r>
        <w:separator/>
      </w:r>
    </w:p>
  </w:endnote>
  <w:endnote w:type="continuationSeparator" w:id="0">
    <w:p w14:paraId="045260B0" w14:textId="77777777" w:rsidR="004178C5" w:rsidRDefault="004178C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4000ACFF" w:usb2="00000001" w:usb3="00000000" w:csb0="000001FF" w:csb1="00000000"/>
  </w:font>
  <w:font w:name="Leelawadee">
    <w:panose1 w:val="020B0502040204020203"/>
    <w:charset w:val="00"/>
    <w:family w:val="swiss"/>
    <w:pitch w:val="variable"/>
    <w:sig w:usb0="01000003" w:usb1="00000000" w:usb2="00000000" w:usb3="00000000" w:csb0="00010001" w:csb1="00000000"/>
  </w:font>
  <w:font w:name="Segoe UI">
    <w:altName w:val="Arial"/>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Red Hat Display">
    <w:charset w:val="00"/>
    <w:family w:val="auto"/>
    <w:pitch w:val="default"/>
  </w:font>
  <w:font w:name="Century Gothic">
    <w:panose1 w:val="020B0502020202020204"/>
    <w:charset w:val="00"/>
    <w:family w:val="swiss"/>
    <w:pitch w:val="variable"/>
    <w:sig w:usb0="00000287" w:usb1="00000000" w:usb2="00000000" w:usb3="00000000" w:csb0="0000009F" w:csb1="00000000"/>
  </w:font>
  <w:font w:name="Times">
    <w:altName w:val="﷽﷽﷽﷽﷽﷽﷽﷽w Roman"/>
    <w:panose1 w:val="02020603050405020304"/>
    <w:charset w:val="00"/>
    <w:family w:val="auto"/>
    <w:pitch w:val="variable"/>
    <w:sig w:usb0="E00002FF" w:usb1="5000205A" w:usb2="00000000" w:usb3="00000000" w:csb0="0000019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4E1E54" w14:textId="00C73259" w:rsidR="000757FB" w:rsidRDefault="0017611E">
    <w:r>
      <w:rPr>
        <w:noProof/>
        <w:lang w:val="es-CO" w:eastAsia="es-CO"/>
      </w:rPr>
      <w:drawing>
        <wp:anchor distT="0" distB="0" distL="0" distR="0" simplePos="0" relativeHeight="251657728" behindDoc="1" locked="0" layoutInCell="1" hidden="0" allowOverlap="1" wp14:anchorId="1DA942BB" wp14:editId="6C85615D">
          <wp:simplePos x="0" y="0"/>
          <wp:positionH relativeFrom="page">
            <wp:posOffset>286716</wp:posOffset>
          </wp:positionH>
          <wp:positionV relativeFrom="paragraph">
            <wp:posOffset>-230726</wp:posOffset>
          </wp:positionV>
          <wp:extent cx="7429500" cy="1024255"/>
          <wp:effectExtent l="0" t="0" r="0" b="4445"/>
          <wp:wrapNone/>
          <wp:docPr id="26"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
                  <a:srcRect l="2141" t="2030" r="3400" b="11249"/>
                  <a:stretch>
                    <a:fillRect/>
                  </a:stretch>
                </pic:blipFill>
                <pic:spPr>
                  <a:xfrm>
                    <a:off x="0" y="0"/>
                    <a:ext cx="7429500" cy="1024255"/>
                  </a:xfrm>
                  <a:prstGeom prst="rect">
                    <a:avLst/>
                  </a:prstGeom>
                  <a:ln/>
                </pic:spPr>
              </pic:pic>
            </a:graphicData>
          </a:graphic>
          <wp14:sizeRelH relativeFrom="margin">
            <wp14:pctWidth>0</wp14:pctWidth>
          </wp14:sizeRelH>
        </wp:anchor>
      </w:drawing>
    </w:r>
  </w:p>
  <w:p w14:paraId="404E28E7" w14:textId="56F5729B" w:rsidR="000757FB" w:rsidRDefault="000757FB"/>
  <w:p w14:paraId="0EF4D2CB" w14:textId="06F33135" w:rsidR="000757FB" w:rsidRDefault="000757FB" w:rsidP="00D00B17">
    <w:pPr>
      <w:tabs>
        <w:tab w:val="left" w:pos="7290"/>
      </w:tabs>
    </w:pPr>
    <w:r>
      <w:tab/>
    </w:r>
  </w:p>
  <w:p w14:paraId="09A29825" w14:textId="2A90FA45" w:rsidR="000757FB" w:rsidRDefault="000757FB"/>
  <w:p w14:paraId="528D1DF3" w14:textId="2FBB01E0" w:rsidR="000757FB" w:rsidRDefault="000757FB"/>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5BE1F4" w14:textId="77777777" w:rsidR="004178C5" w:rsidRDefault="004178C5">
      <w:pPr>
        <w:spacing w:line="240" w:lineRule="auto"/>
      </w:pPr>
      <w:r>
        <w:separator/>
      </w:r>
    </w:p>
  </w:footnote>
  <w:footnote w:type="continuationSeparator" w:id="0">
    <w:p w14:paraId="55904301" w14:textId="77777777" w:rsidR="004178C5" w:rsidRDefault="004178C5">
      <w:pPr>
        <w:spacing w:line="240" w:lineRule="auto"/>
      </w:pPr>
      <w:r>
        <w:continuationSeparator/>
      </w:r>
    </w:p>
  </w:footnote>
  <w:footnote w:id="1">
    <w:p w14:paraId="20C429E3" w14:textId="11095F48" w:rsidR="00986683" w:rsidRPr="00BA2A4F" w:rsidRDefault="00986683" w:rsidP="00BA2A4F">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C01152" w14:textId="6F89F06E" w:rsidR="000757FB" w:rsidRDefault="000757FB">
    <w:pPr>
      <w:ind w:right="-18"/>
    </w:pPr>
    <w:r>
      <w:rPr>
        <w:noProof/>
        <w:lang w:val="es-CO" w:eastAsia="es-CO"/>
      </w:rPr>
      <w:drawing>
        <wp:anchor distT="0" distB="0" distL="114300" distR="114300" simplePos="0" relativeHeight="251656704" behindDoc="0" locked="0" layoutInCell="1" allowOverlap="1" wp14:anchorId="19D9A8CB" wp14:editId="3E3C5C8C">
          <wp:simplePos x="0" y="0"/>
          <wp:positionH relativeFrom="column">
            <wp:posOffset>-285750</wp:posOffset>
          </wp:positionH>
          <wp:positionV relativeFrom="paragraph">
            <wp:posOffset>60325</wp:posOffset>
          </wp:positionV>
          <wp:extent cx="6134100" cy="1047750"/>
          <wp:effectExtent l="0" t="0" r="0" b="0"/>
          <wp:wrapNone/>
          <wp:docPr id="2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rotWithShape="1">
                  <a:blip r:embed="rId1">
                    <a:extLst>
                      <a:ext uri="{28A0092B-C50C-407E-A947-70E740481C1C}">
                        <a14:useLocalDpi xmlns:a14="http://schemas.microsoft.com/office/drawing/2010/main" val="0"/>
                      </a:ext>
                    </a:extLst>
                  </a:blip>
                  <a:srcRect l="26296" r="27272"/>
                  <a:stretch/>
                </pic:blipFill>
                <pic:spPr bwMode="auto">
                  <a:xfrm>
                    <a:off x="0" y="0"/>
                    <a:ext cx="6134100" cy="1047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512586" w14:textId="73B52BC8" w:rsidR="000757FB" w:rsidRDefault="000757FB">
    <w:pPr>
      <w:ind w:right="-18"/>
    </w:pPr>
  </w:p>
  <w:p w14:paraId="085D9AEF" w14:textId="036FD2D8" w:rsidR="000757FB" w:rsidRDefault="000757FB">
    <w:pPr>
      <w:ind w:right="-18"/>
    </w:pPr>
  </w:p>
  <w:p w14:paraId="73F8630F" w14:textId="1AFD384D" w:rsidR="000757FB" w:rsidRDefault="000757FB">
    <w:pPr>
      <w:ind w:right="-18"/>
    </w:pPr>
  </w:p>
  <w:p w14:paraId="7F65B391" w14:textId="7BA6BA75" w:rsidR="000757FB" w:rsidRDefault="000757FB">
    <w:pPr>
      <w:ind w:right="-18"/>
    </w:pPr>
  </w:p>
  <w:p w14:paraId="03D8FE4F" w14:textId="74E33082" w:rsidR="000757FB" w:rsidRDefault="004178C5">
    <w:pPr>
      <w:ind w:right="-18"/>
    </w:pPr>
    <w:r>
      <w:pict w14:anchorId="5F5BCE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alt="" style="position:absolute;margin-left:219.75pt;margin-top:289.05pt;width:335.25pt;height:310.45pt;z-index:-251657728;mso-wrap-edited:f;mso-width-percent:0;mso-height-percent:0;mso-position-horizontal-relative:margin;mso-position-vertical-relative:margin;mso-width-percent:0;mso-height-percent:0">
          <v:imagedata r:id="rId2" o:title="image2"/>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756B3A"/>
    <w:multiLevelType w:val="hybridMultilevel"/>
    <w:tmpl w:val="A140AC30"/>
    <w:lvl w:ilvl="0" w:tplc="1666AF04">
      <w:start w:val="6"/>
      <w:numFmt w:val="bullet"/>
      <w:lvlText w:val="-"/>
      <w:lvlJc w:val="left"/>
      <w:pPr>
        <w:ind w:left="927" w:hanging="360"/>
      </w:pPr>
      <w:rPr>
        <w:rFonts w:ascii="Arial" w:eastAsia="Arial" w:hAnsi="Arial" w:cs="Arial" w:hint="default"/>
      </w:rPr>
    </w:lvl>
    <w:lvl w:ilvl="1" w:tplc="080A0003" w:tentative="1">
      <w:start w:val="1"/>
      <w:numFmt w:val="bullet"/>
      <w:lvlText w:val="o"/>
      <w:lvlJc w:val="left"/>
      <w:pPr>
        <w:ind w:left="1647" w:hanging="360"/>
      </w:pPr>
      <w:rPr>
        <w:rFonts w:ascii="Courier New" w:hAnsi="Courier New" w:cs="Courier New" w:hint="default"/>
      </w:rPr>
    </w:lvl>
    <w:lvl w:ilvl="2" w:tplc="080A0005" w:tentative="1">
      <w:start w:val="1"/>
      <w:numFmt w:val="bullet"/>
      <w:lvlText w:val=""/>
      <w:lvlJc w:val="left"/>
      <w:pPr>
        <w:ind w:left="2367" w:hanging="360"/>
      </w:pPr>
      <w:rPr>
        <w:rFonts w:ascii="Wingdings" w:hAnsi="Wingdings" w:hint="default"/>
      </w:rPr>
    </w:lvl>
    <w:lvl w:ilvl="3" w:tplc="080A0001" w:tentative="1">
      <w:start w:val="1"/>
      <w:numFmt w:val="bullet"/>
      <w:lvlText w:val=""/>
      <w:lvlJc w:val="left"/>
      <w:pPr>
        <w:ind w:left="3087" w:hanging="360"/>
      </w:pPr>
      <w:rPr>
        <w:rFonts w:ascii="Symbol" w:hAnsi="Symbol" w:hint="default"/>
      </w:rPr>
    </w:lvl>
    <w:lvl w:ilvl="4" w:tplc="080A0003" w:tentative="1">
      <w:start w:val="1"/>
      <w:numFmt w:val="bullet"/>
      <w:lvlText w:val="o"/>
      <w:lvlJc w:val="left"/>
      <w:pPr>
        <w:ind w:left="3807" w:hanging="360"/>
      </w:pPr>
      <w:rPr>
        <w:rFonts w:ascii="Courier New" w:hAnsi="Courier New" w:cs="Courier New" w:hint="default"/>
      </w:rPr>
    </w:lvl>
    <w:lvl w:ilvl="5" w:tplc="080A0005" w:tentative="1">
      <w:start w:val="1"/>
      <w:numFmt w:val="bullet"/>
      <w:lvlText w:val=""/>
      <w:lvlJc w:val="left"/>
      <w:pPr>
        <w:ind w:left="4527" w:hanging="360"/>
      </w:pPr>
      <w:rPr>
        <w:rFonts w:ascii="Wingdings" w:hAnsi="Wingdings" w:hint="default"/>
      </w:rPr>
    </w:lvl>
    <w:lvl w:ilvl="6" w:tplc="080A0001" w:tentative="1">
      <w:start w:val="1"/>
      <w:numFmt w:val="bullet"/>
      <w:lvlText w:val=""/>
      <w:lvlJc w:val="left"/>
      <w:pPr>
        <w:ind w:left="5247" w:hanging="360"/>
      </w:pPr>
      <w:rPr>
        <w:rFonts w:ascii="Symbol" w:hAnsi="Symbol" w:hint="default"/>
      </w:rPr>
    </w:lvl>
    <w:lvl w:ilvl="7" w:tplc="080A0003" w:tentative="1">
      <w:start w:val="1"/>
      <w:numFmt w:val="bullet"/>
      <w:lvlText w:val="o"/>
      <w:lvlJc w:val="left"/>
      <w:pPr>
        <w:ind w:left="5967" w:hanging="360"/>
      </w:pPr>
      <w:rPr>
        <w:rFonts w:ascii="Courier New" w:hAnsi="Courier New" w:cs="Courier New" w:hint="default"/>
      </w:rPr>
    </w:lvl>
    <w:lvl w:ilvl="8" w:tplc="080A0005" w:tentative="1">
      <w:start w:val="1"/>
      <w:numFmt w:val="bullet"/>
      <w:lvlText w:val=""/>
      <w:lvlJc w:val="left"/>
      <w:pPr>
        <w:ind w:left="6687" w:hanging="360"/>
      </w:pPr>
      <w:rPr>
        <w:rFonts w:ascii="Wingdings" w:hAnsi="Wingdings" w:hint="default"/>
      </w:rPr>
    </w:lvl>
  </w:abstractNum>
  <w:abstractNum w:abstractNumId="1" w15:restartNumberingAfterBreak="0">
    <w:nsid w:val="0FA35A4E"/>
    <w:multiLevelType w:val="multilevel"/>
    <w:tmpl w:val="52807B4E"/>
    <w:lvl w:ilvl="0">
      <w:start w:val="7"/>
      <w:numFmt w:val="upperRoman"/>
      <w:lvlText w:val="%1."/>
      <w:lvlJc w:val="left"/>
      <w:pPr>
        <w:ind w:left="720" w:hanging="360"/>
      </w:pPr>
      <w:rPr>
        <w:rFonts w:ascii="Arial" w:eastAsia="Arial" w:hAnsi="Arial" w:cs="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15:restartNumberingAfterBreak="0">
    <w:nsid w:val="121F70A1"/>
    <w:multiLevelType w:val="hybridMultilevel"/>
    <w:tmpl w:val="604EF570"/>
    <w:lvl w:ilvl="0" w:tplc="080A0001">
      <w:start w:val="1"/>
      <w:numFmt w:val="bullet"/>
      <w:lvlText w:val=""/>
      <w:lvlJc w:val="left"/>
      <w:pPr>
        <w:ind w:left="1450" w:hanging="360"/>
      </w:pPr>
      <w:rPr>
        <w:rFonts w:ascii="Symbol" w:hAnsi="Symbol" w:hint="default"/>
      </w:rPr>
    </w:lvl>
    <w:lvl w:ilvl="1" w:tplc="080A0003" w:tentative="1">
      <w:start w:val="1"/>
      <w:numFmt w:val="bullet"/>
      <w:lvlText w:val="o"/>
      <w:lvlJc w:val="left"/>
      <w:pPr>
        <w:ind w:left="2170" w:hanging="360"/>
      </w:pPr>
      <w:rPr>
        <w:rFonts w:ascii="Courier New" w:hAnsi="Courier New" w:cs="Courier New" w:hint="default"/>
      </w:rPr>
    </w:lvl>
    <w:lvl w:ilvl="2" w:tplc="080A0005" w:tentative="1">
      <w:start w:val="1"/>
      <w:numFmt w:val="bullet"/>
      <w:lvlText w:val=""/>
      <w:lvlJc w:val="left"/>
      <w:pPr>
        <w:ind w:left="2890" w:hanging="360"/>
      </w:pPr>
      <w:rPr>
        <w:rFonts w:ascii="Wingdings" w:hAnsi="Wingdings" w:hint="default"/>
      </w:rPr>
    </w:lvl>
    <w:lvl w:ilvl="3" w:tplc="080A0001" w:tentative="1">
      <w:start w:val="1"/>
      <w:numFmt w:val="bullet"/>
      <w:lvlText w:val=""/>
      <w:lvlJc w:val="left"/>
      <w:pPr>
        <w:ind w:left="3610" w:hanging="360"/>
      </w:pPr>
      <w:rPr>
        <w:rFonts w:ascii="Symbol" w:hAnsi="Symbol" w:hint="default"/>
      </w:rPr>
    </w:lvl>
    <w:lvl w:ilvl="4" w:tplc="080A0003" w:tentative="1">
      <w:start w:val="1"/>
      <w:numFmt w:val="bullet"/>
      <w:lvlText w:val="o"/>
      <w:lvlJc w:val="left"/>
      <w:pPr>
        <w:ind w:left="4330" w:hanging="360"/>
      </w:pPr>
      <w:rPr>
        <w:rFonts w:ascii="Courier New" w:hAnsi="Courier New" w:cs="Courier New" w:hint="default"/>
      </w:rPr>
    </w:lvl>
    <w:lvl w:ilvl="5" w:tplc="080A0005" w:tentative="1">
      <w:start w:val="1"/>
      <w:numFmt w:val="bullet"/>
      <w:lvlText w:val=""/>
      <w:lvlJc w:val="left"/>
      <w:pPr>
        <w:ind w:left="5050" w:hanging="360"/>
      </w:pPr>
      <w:rPr>
        <w:rFonts w:ascii="Wingdings" w:hAnsi="Wingdings" w:hint="default"/>
      </w:rPr>
    </w:lvl>
    <w:lvl w:ilvl="6" w:tplc="080A0001" w:tentative="1">
      <w:start w:val="1"/>
      <w:numFmt w:val="bullet"/>
      <w:lvlText w:val=""/>
      <w:lvlJc w:val="left"/>
      <w:pPr>
        <w:ind w:left="5770" w:hanging="360"/>
      </w:pPr>
      <w:rPr>
        <w:rFonts w:ascii="Symbol" w:hAnsi="Symbol" w:hint="default"/>
      </w:rPr>
    </w:lvl>
    <w:lvl w:ilvl="7" w:tplc="080A0003" w:tentative="1">
      <w:start w:val="1"/>
      <w:numFmt w:val="bullet"/>
      <w:lvlText w:val="o"/>
      <w:lvlJc w:val="left"/>
      <w:pPr>
        <w:ind w:left="6490" w:hanging="360"/>
      </w:pPr>
      <w:rPr>
        <w:rFonts w:ascii="Courier New" w:hAnsi="Courier New" w:cs="Courier New" w:hint="default"/>
      </w:rPr>
    </w:lvl>
    <w:lvl w:ilvl="8" w:tplc="080A0005" w:tentative="1">
      <w:start w:val="1"/>
      <w:numFmt w:val="bullet"/>
      <w:lvlText w:val=""/>
      <w:lvlJc w:val="left"/>
      <w:pPr>
        <w:ind w:left="7210" w:hanging="360"/>
      </w:pPr>
      <w:rPr>
        <w:rFonts w:ascii="Wingdings" w:hAnsi="Wingdings" w:hint="default"/>
      </w:rPr>
    </w:lvl>
  </w:abstractNum>
  <w:abstractNum w:abstractNumId="3" w15:restartNumberingAfterBreak="0">
    <w:nsid w:val="15161DBF"/>
    <w:multiLevelType w:val="hybridMultilevel"/>
    <w:tmpl w:val="46E66024"/>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1647ECC3"/>
    <w:multiLevelType w:val="multilevel"/>
    <w:tmpl w:val="06345198"/>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6515C87"/>
    <w:multiLevelType w:val="hybridMultilevel"/>
    <w:tmpl w:val="F0A44C32"/>
    <w:lvl w:ilvl="0" w:tplc="9BB4B45E">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16D05F0A"/>
    <w:multiLevelType w:val="hybridMultilevel"/>
    <w:tmpl w:val="34A060D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7A703F2"/>
    <w:multiLevelType w:val="hybridMultilevel"/>
    <w:tmpl w:val="D6AC428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BEE2E98"/>
    <w:multiLevelType w:val="hybridMultilevel"/>
    <w:tmpl w:val="0778CE78"/>
    <w:lvl w:ilvl="0" w:tplc="477CE5D0">
      <w:start w:val="1"/>
      <w:numFmt w:val="decimal"/>
      <w:lvlText w:val="%1."/>
      <w:lvlJc w:val="left"/>
      <w:pPr>
        <w:ind w:left="942" w:hanging="375"/>
      </w:pPr>
      <w:rPr>
        <w:rFonts w:hint="default"/>
        <w:b/>
        <w:bCs/>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9" w15:restartNumberingAfterBreak="0">
    <w:nsid w:val="1CBA5360"/>
    <w:multiLevelType w:val="hybridMultilevel"/>
    <w:tmpl w:val="117ACD94"/>
    <w:lvl w:ilvl="0" w:tplc="44B06702">
      <w:start w:val="8"/>
      <w:numFmt w:val="bullet"/>
      <w:lvlText w:val="-"/>
      <w:lvlJc w:val="left"/>
      <w:pPr>
        <w:ind w:left="720" w:hanging="360"/>
      </w:pPr>
      <w:rPr>
        <w:rFonts w:ascii="Arial" w:eastAsia="Arial" w:hAnsi="Arial" w:cs="Arial" w:hint="default"/>
        <w:color w:val="000000" w:themeColor="text1"/>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2B06E39"/>
    <w:multiLevelType w:val="hybridMultilevel"/>
    <w:tmpl w:val="7D9A24B2"/>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1" w15:restartNumberingAfterBreak="0">
    <w:nsid w:val="237922E9"/>
    <w:multiLevelType w:val="hybridMultilevel"/>
    <w:tmpl w:val="4E3825DE"/>
    <w:lvl w:ilvl="0" w:tplc="240A0001">
      <w:start w:val="1"/>
      <w:numFmt w:val="bullet"/>
      <w:lvlText w:val=""/>
      <w:lvlJc w:val="left"/>
      <w:pPr>
        <w:ind w:left="436" w:hanging="360"/>
      </w:pPr>
      <w:rPr>
        <w:rFonts w:ascii="Symbol" w:hAnsi="Symbol" w:hint="default"/>
      </w:rPr>
    </w:lvl>
    <w:lvl w:ilvl="1" w:tplc="240A0003" w:tentative="1">
      <w:start w:val="1"/>
      <w:numFmt w:val="bullet"/>
      <w:lvlText w:val="o"/>
      <w:lvlJc w:val="left"/>
      <w:pPr>
        <w:ind w:left="1156" w:hanging="360"/>
      </w:pPr>
      <w:rPr>
        <w:rFonts w:ascii="Courier New" w:hAnsi="Courier New" w:cs="Courier New" w:hint="default"/>
      </w:rPr>
    </w:lvl>
    <w:lvl w:ilvl="2" w:tplc="240A0005" w:tentative="1">
      <w:start w:val="1"/>
      <w:numFmt w:val="bullet"/>
      <w:lvlText w:val=""/>
      <w:lvlJc w:val="left"/>
      <w:pPr>
        <w:ind w:left="1876" w:hanging="360"/>
      </w:pPr>
      <w:rPr>
        <w:rFonts w:ascii="Wingdings" w:hAnsi="Wingdings" w:hint="default"/>
      </w:rPr>
    </w:lvl>
    <w:lvl w:ilvl="3" w:tplc="240A0001" w:tentative="1">
      <w:start w:val="1"/>
      <w:numFmt w:val="bullet"/>
      <w:lvlText w:val=""/>
      <w:lvlJc w:val="left"/>
      <w:pPr>
        <w:ind w:left="2596" w:hanging="360"/>
      </w:pPr>
      <w:rPr>
        <w:rFonts w:ascii="Symbol" w:hAnsi="Symbol" w:hint="default"/>
      </w:rPr>
    </w:lvl>
    <w:lvl w:ilvl="4" w:tplc="240A0003" w:tentative="1">
      <w:start w:val="1"/>
      <w:numFmt w:val="bullet"/>
      <w:lvlText w:val="o"/>
      <w:lvlJc w:val="left"/>
      <w:pPr>
        <w:ind w:left="3316" w:hanging="360"/>
      </w:pPr>
      <w:rPr>
        <w:rFonts w:ascii="Courier New" w:hAnsi="Courier New" w:cs="Courier New" w:hint="default"/>
      </w:rPr>
    </w:lvl>
    <w:lvl w:ilvl="5" w:tplc="240A0005" w:tentative="1">
      <w:start w:val="1"/>
      <w:numFmt w:val="bullet"/>
      <w:lvlText w:val=""/>
      <w:lvlJc w:val="left"/>
      <w:pPr>
        <w:ind w:left="4036" w:hanging="360"/>
      </w:pPr>
      <w:rPr>
        <w:rFonts w:ascii="Wingdings" w:hAnsi="Wingdings" w:hint="default"/>
      </w:rPr>
    </w:lvl>
    <w:lvl w:ilvl="6" w:tplc="240A0001" w:tentative="1">
      <w:start w:val="1"/>
      <w:numFmt w:val="bullet"/>
      <w:lvlText w:val=""/>
      <w:lvlJc w:val="left"/>
      <w:pPr>
        <w:ind w:left="4756" w:hanging="360"/>
      </w:pPr>
      <w:rPr>
        <w:rFonts w:ascii="Symbol" w:hAnsi="Symbol" w:hint="default"/>
      </w:rPr>
    </w:lvl>
    <w:lvl w:ilvl="7" w:tplc="240A0003" w:tentative="1">
      <w:start w:val="1"/>
      <w:numFmt w:val="bullet"/>
      <w:lvlText w:val="o"/>
      <w:lvlJc w:val="left"/>
      <w:pPr>
        <w:ind w:left="5476" w:hanging="360"/>
      </w:pPr>
      <w:rPr>
        <w:rFonts w:ascii="Courier New" w:hAnsi="Courier New" w:cs="Courier New" w:hint="default"/>
      </w:rPr>
    </w:lvl>
    <w:lvl w:ilvl="8" w:tplc="240A0005" w:tentative="1">
      <w:start w:val="1"/>
      <w:numFmt w:val="bullet"/>
      <w:lvlText w:val=""/>
      <w:lvlJc w:val="left"/>
      <w:pPr>
        <w:ind w:left="6196" w:hanging="360"/>
      </w:pPr>
      <w:rPr>
        <w:rFonts w:ascii="Wingdings" w:hAnsi="Wingdings" w:hint="default"/>
      </w:rPr>
    </w:lvl>
  </w:abstractNum>
  <w:abstractNum w:abstractNumId="12" w15:restartNumberingAfterBreak="0">
    <w:nsid w:val="298621CE"/>
    <w:multiLevelType w:val="hybridMultilevel"/>
    <w:tmpl w:val="326CE87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3" w15:restartNumberingAfterBreak="0">
    <w:nsid w:val="36CF6FE9"/>
    <w:multiLevelType w:val="hybridMultilevel"/>
    <w:tmpl w:val="947CF52C"/>
    <w:lvl w:ilvl="0" w:tplc="3C724D44">
      <w:start w:val="8"/>
      <w:numFmt w:val="bullet"/>
      <w:lvlText w:val="-"/>
      <w:lvlJc w:val="left"/>
      <w:pPr>
        <w:ind w:left="720" w:hanging="360"/>
      </w:pPr>
      <w:rPr>
        <w:rFonts w:ascii="Arial" w:eastAsia="Arial Unicode MS"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84D308E"/>
    <w:multiLevelType w:val="hybridMultilevel"/>
    <w:tmpl w:val="E9423466"/>
    <w:lvl w:ilvl="0" w:tplc="F482A56E">
      <w:start w:val="10"/>
      <w:numFmt w:val="bullet"/>
      <w:lvlText w:val="-"/>
      <w:lvlJc w:val="left"/>
      <w:pPr>
        <w:ind w:left="720" w:hanging="360"/>
      </w:pPr>
      <w:rPr>
        <w:rFonts w:ascii="Arial" w:eastAsia="Arial Unicode MS"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387CC261"/>
    <w:multiLevelType w:val="multilevel"/>
    <w:tmpl w:val="8D462778"/>
    <w:lvl w:ilvl="0">
      <w:start w:val="5"/>
      <w:numFmt w:val="upperRoman"/>
      <w:lvlText w:val="%1."/>
      <w:lvlJc w:val="left"/>
      <w:pPr>
        <w:ind w:left="720" w:hanging="360"/>
      </w:pPr>
      <w:rPr>
        <w:rFonts w:ascii="Arial" w:eastAsia="Arial" w:hAnsi="Arial" w:cs="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6" w15:restartNumberingAfterBreak="0">
    <w:nsid w:val="39F22A18"/>
    <w:multiLevelType w:val="multilevel"/>
    <w:tmpl w:val="39F22A18"/>
    <w:lvl w:ilvl="0">
      <w:start w:val="1"/>
      <w:numFmt w:val="decimal"/>
      <w:lvlText w:val="%1."/>
      <w:lvlJc w:val="left"/>
      <w:pPr>
        <w:ind w:left="720" w:hanging="360"/>
      </w:pPr>
      <w:rPr>
        <w:rFonts w:hint="default"/>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7" w15:restartNumberingAfterBreak="0">
    <w:nsid w:val="3D112FD5"/>
    <w:multiLevelType w:val="multilevel"/>
    <w:tmpl w:val="E9562A02"/>
    <w:lvl w:ilvl="0">
      <w:start w:val="6"/>
      <w:numFmt w:val="upperRoman"/>
      <w:lvlText w:val="%1."/>
      <w:lvlJc w:val="left"/>
      <w:pPr>
        <w:ind w:left="720" w:hanging="360"/>
      </w:pPr>
      <w:rPr>
        <w:rFonts w:ascii="Arial" w:eastAsia="Arial" w:hAnsi="Arial" w:cs="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8" w15:restartNumberingAfterBreak="0">
    <w:nsid w:val="452A2512"/>
    <w:multiLevelType w:val="hybridMultilevel"/>
    <w:tmpl w:val="AB660A8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51921100"/>
    <w:multiLevelType w:val="hybridMultilevel"/>
    <w:tmpl w:val="E97CF758"/>
    <w:lvl w:ilvl="0" w:tplc="240A0001">
      <w:start w:val="1"/>
      <w:numFmt w:val="bullet"/>
      <w:lvlText w:val=""/>
      <w:lvlJc w:val="left"/>
      <w:pPr>
        <w:ind w:left="436" w:hanging="360"/>
      </w:pPr>
      <w:rPr>
        <w:rFonts w:ascii="Symbol" w:hAnsi="Symbol" w:hint="default"/>
      </w:rPr>
    </w:lvl>
    <w:lvl w:ilvl="1" w:tplc="240A0003" w:tentative="1">
      <w:start w:val="1"/>
      <w:numFmt w:val="bullet"/>
      <w:lvlText w:val="o"/>
      <w:lvlJc w:val="left"/>
      <w:pPr>
        <w:ind w:left="1156" w:hanging="360"/>
      </w:pPr>
      <w:rPr>
        <w:rFonts w:ascii="Courier New" w:hAnsi="Courier New" w:cs="Courier New" w:hint="default"/>
      </w:rPr>
    </w:lvl>
    <w:lvl w:ilvl="2" w:tplc="240A0005" w:tentative="1">
      <w:start w:val="1"/>
      <w:numFmt w:val="bullet"/>
      <w:lvlText w:val=""/>
      <w:lvlJc w:val="left"/>
      <w:pPr>
        <w:ind w:left="1876" w:hanging="360"/>
      </w:pPr>
      <w:rPr>
        <w:rFonts w:ascii="Wingdings" w:hAnsi="Wingdings" w:hint="default"/>
      </w:rPr>
    </w:lvl>
    <w:lvl w:ilvl="3" w:tplc="240A0001" w:tentative="1">
      <w:start w:val="1"/>
      <w:numFmt w:val="bullet"/>
      <w:lvlText w:val=""/>
      <w:lvlJc w:val="left"/>
      <w:pPr>
        <w:ind w:left="2596" w:hanging="360"/>
      </w:pPr>
      <w:rPr>
        <w:rFonts w:ascii="Symbol" w:hAnsi="Symbol" w:hint="default"/>
      </w:rPr>
    </w:lvl>
    <w:lvl w:ilvl="4" w:tplc="240A0003" w:tentative="1">
      <w:start w:val="1"/>
      <w:numFmt w:val="bullet"/>
      <w:lvlText w:val="o"/>
      <w:lvlJc w:val="left"/>
      <w:pPr>
        <w:ind w:left="3316" w:hanging="360"/>
      </w:pPr>
      <w:rPr>
        <w:rFonts w:ascii="Courier New" w:hAnsi="Courier New" w:cs="Courier New" w:hint="default"/>
      </w:rPr>
    </w:lvl>
    <w:lvl w:ilvl="5" w:tplc="240A0005" w:tentative="1">
      <w:start w:val="1"/>
      <w:numFmt w:val="bullet"/>
      <w:lvlText w:val=""/>
      <w:lvlJc w:val="left"/>
      <w:pPr>
        <w:ind w:left="4036" w:hanging="360"/>
      </w:pPr>
      <w:rPr>
        <w:rFonts w:ascii="Wingdings" w:hAnsi="Wingdings" w:hint="default"/>
      </w:rPr>
    </w:lvl>
    <w:lvl w:ilvl="6" w:tplc="240A0001" w:tentative="1">
      <w:start w:val="1"/>
      <w:numFmt w:val="bullet"/>
      <w:lvlText w:val=""/>
      <w:lvlJc w:val="left"/>
      <w:pPr>
        <w:ind w:left="4756" w:hanging="360"/>
      </w:pPr>
      <w:rPr>
        <w:rFonts w:ascii="Symbol" w:hAnsi="Symbol" w:hint="default"/>
      </w:rPr>
    </w:lvl>
    <w:lvl w:ilvl="7" w:tplc="240A0003" w:tentative="1">
      <w:start w:val="1"/>
      <w:numFmt w:val="bullet"/>
      <w:lvlText w:val="o"/>
      <w:lvlJc w:val="left"/>
      <w:pPr>
        <w:ind w:left="5476" w:hanging="360"/>
      </w:pPr>
      <w:rPr>
        <w:rFonts w:ascii="Courier New" w:hAnsi="Courier New" w:cs="Courier New" w:hint="default"/>
      </w:rPr>
    </w:lvl>
    <w:lvl w:ilvl="8" w:tplc="240A0005" w:tentative="1">
      <w:start w:val="1"/>
      <w:numFmt w:val="bullet"/>
      <w:lvlText w:val=""/>
      <w:lvlJc w:val="left"/>
      <w:pPr>
        <w:ind w:left="6196" w:hanging="360"/>
      </w:pPr>
      <w:rPr>
        <w:rFonts w:ascii="Wingdings" w:hAnsi="Wingdings" w:hint="default"/>
      </w:rPr>
    </w:lvl>
  </w:abstractNum>
  <w:abstractNum w:abstractNumId="20" w15:restartNumberingAfterBreak="0">
    <w:nsid w:val="53900E2F"/>
    <w:multiLevelType w:val="multilevel"/>
    <w:tmpl w:val="24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56704667"/>
    <w:multiLevelType w:val="multilevel"/>
    <w:tmpl w:val="24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57A63A3A"/>
    <w:multiLevelType w:val="multilevel"/>
    <w:tmpl w:val="57A63A3A"/>
    <w:lvl w:ilvl="0">
      <w:start w:val="2"/>
      <w:numFmt w:val="bullet"/>
      <w:lvlText w:val="-"/>
      <w:lvlJc w:val="left"/>
      <w:pPr>
        <w:ind w:left="720" w:hanging="360"/>
      </w:pPr>
      <w:rPr>
        <w:rFonts w:ascii="Calibri" w:eastAsia="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5806327E"/>
    <w:multiLevelType w:val="hybridMultilevel"/>
    <w:tmpl w:val="6D28F0CC"/>
    <w:lvl w:ilvl="0" w:tplc="240A000B">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4" w15:restartNumberingAfterBreak="0">
    <w:nsid w:val="63CE1BF6"/>
    <w:multiLevelType w:val="hybridMultilevel"/>
    <w:tmpl w:val="99C6B7C4"/>
    <w:lvl w:ilvl="0" w:tplc="0508728C">
      <w:start w:val="1"/>
      <w:numFmt w:val="decimal"/>
      <w:lvlText w:val="%1."/>
      <w:lvlJc w:val="left"/>
      <w:pPr>
        <w:ind w:left="1440" w:hanging="360"/>
      </w:pPr>
      <w:rPr>
        <w:lang w:val="es-E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15:restartNumberingAfterBreak="0">
    <w:nsid w:val="654F48F2"/>
    <w:multiLevelType w:val="hybridMultilevel"/>
    <w:tmpl w:val="52888758"/>
    <w:lvl w:ilvl="0" w:tplc="45809944">
      <w:start w:val="7"/>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15:restartNumberingAfterBreak="0">
    <w:nsid w:val="6D342068"/>
    <w:multiLevelType w:val="multilevel"/>
    <w:tmpl w:val="24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 w15:restartNumberingAfterBreak="0">
    <w:nsid w:val="72625E2E"/>
    <w:multiLevelType w:val="hybridMultilevel"/>
    <w:tmpl w:val="C1FA17A2"/>
    <w:lvl w:ilvl="0" w:tplc="DF08E416">
      <w:start w:val="6"/>
      <w:numFmt w:val="bullet"/>
      <w:lvlText w:val="-"/>
      <w:lvlJc w:val="left"/>
      <w:pPr>
        <w:ind w:left="1160" w:hanging="360"/>
      </w:pPr>
      <w:rPr>
        <w:rFonts w:ascii="Arial" w:eastAsia="Arial" w:hAnsi="Arial" w:cs="Arial" w:hint="default"/>
      </w:rPr>
    </w:lvl>
    <w:lvl w:ilvl="1" w:tplc="080A0003" w:tentative="1">
      <w:start w:val="1"/>
      <w:numFmt w:val="bullet"/>
      <w:lvlText w:val="o"/>
      <w:lvlJc w:val="left"/>
      <w:pPr>
        <w:ind w:left="1880" w:hanging="360"/>
      </w:pPr>
      <w:rPr>
        <w:rFonts w:ascii="Courier New" w:hAnsi="Courier New" w:cs="Courier New" w:hint="default"/>
      </w:rPr>
    </w:lvl>
    <w:lvl w:ilvl="2" w:tplc="080A0005" w:tentative="1">
      <w:start w:val="1"/>
      <w:numFmt w:val="bullet"/>
      <w:lvlText w:val=""/>
      <w:lvlJc w:val="left"/>
      <w:pPr>
        <w:ind w:left="2600" w:hanging="360"/>
      </w:pPr>
      <w:rPr>
        <w:rFonts w:ascii="Wingdings" w:hAnsi="Wingdings" w:hint="default"/>
      </w:rPr>
    </w:lvl>
    <w:lvl w:ilvl="3" w:tplc="080A0001" w:tentative="1">
      <w:start w:val="1"/>
      <w:numFmt w:val="bullet"/>
      <w:lvlText w:val=""/>
      <w:lvlJc w:val="left"/>
      <w:pPr>
        <w:ind w:left="3320" w:hanging="360"/>
      </w:pPr>
      <w:rPr>
        <w:rFonts w:ascii="Symbol" w:hAnsi="Symbol" w:hint="default"/>
      </w:rPr>
    </w:lvl>
    <w:lvl w:ilvl="4" w:tplc="080A0003" w:tentative="1">
      <w:start w:val="1"/>
      <w:numFmt w:val="bullet"/>
      <w:lvlText w:val="o"/>
      <w:lvlJc w:val="left"/>
      <w:pPr>
        <w:ind w:left="4040" w:hanging="360"/>
      </w:pPr>
      <w:rPr>
        <w:rFonts w:ascii="Courier New" w:hAnsi="Courier New" w:cs="Courier New" w:hint="default"/>
      </w:rPr>
    </w:lvl>
    <w:lvl w:ilvl="5" w:tplc="080A0005" w:tentative="1">
      <w:start w:val="1"/>
      <w:numFmt w:val="bullet"/>
      <w:lvlText w:val=""/>
      <w:lvlJc w:val="left"/>
      <w:pPr>
        <w:ind w:left="4760" w:hanging="360"/>
      </w:pPr>
      <w:rPr>
        <w:rFonts w:ascii="Wingdings" w:hAnsi="Wingdings" w:hint="default"/>
      </w:rPr>
    </w:lvl>
    <w:lvl w:ilvl="6" w:tplc="080A0001" w:tentative="1">
      <w:start w:val="1"/>
      <w:numFmt w:val="bullet"/>
      <w:lvlText w:val=""/>
      <w:lvlJc w:val="left"/>
      <w:pPr>
        <w:ind w:left="5480" w:hanging="360"/>
      </w:pPr>
      <w:rPr>
        <w:rFonts w:ascii="Symbol" w:hAnsi="Symbol" w:hint="default"/>
      </w:rPr>
    </w:lvl>
    <w:lvl w:ilvl="7" w:tplc="080A0003" w:tentative="1">
      <w:start w:val="1"/>
      <w:numFmt w:val="bullet"/>
      <w:lvlText w:val="o"/>
      <w:lvlJc w:val="left"/>
      <w:pPr>
        <w:ind w:left="6200" w:hanging="360"/>
      </w:pPr>
      <w:rPr>
        <w:rFonts w:ascii="Courier New" w:hAnsi="Courier New" w:cs="Courier New" w:hint="default"/>
      </w:rPr>
    </w:lvl>
    <w:lvl w:ilvl="8" w:tplc="080A0005" w:tentative="1">
      <w:start w:val="1"/>
      <w:numFmt w:val="bullet"/>
      <w:lvlText w:val=""/>
      <w:lvlJc w:val="left"/>
      <w:pPr>
        <w:ind w:left="6920" w:hanging="360"/>
      </w:pPr>
      <w:rPr>
        <w:rFonts w:ascii="Wingdings" w:hAnsi="Wingdings" w:hint="default"/>
      </w:rPr>
    </w:lvl>
  </w:abstractNum>
  <w:abstractNum w:abstractNumId="28" w15:restartNumberingAfterBreak="0">
    <w:nsid w:val="78146BD2"/>
    <w:multiLevelType w:val="hybridMultilevel"/>
    <w:tmpl w:val="6966D4F8"/>
    <w:lvl w:ilvl="0" w:tplc="F53EE38E">
      <w:start w:val="8"/>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79934C57"/>
    <w:multiLevelType w:val="hybridMultilevel"/>
    <w:tmpl w:val="5D0894D2"/>
    <w:lvl w:ilvl="0" w:tplc="C7C43F64">
      <w:start w:val="6"/>
      <w:numFmt w:val="bullet"/>
      <w:lvlText w:val="-"/>
      <w:lvlJc w:val="left"/>
      <w:pPr>
        <w:ind w:left="1220" w:hanging="360"/>
      </w:pPr>
      <w:rPr>
        <w:rFonts w:ascii="Arial" w:eastAsia="Arial" w:hAnsi="Arial" w:cs="Arial" w:hint="default"/>
      </w:rPr>
    </w:lvl>
    <w:lvl w:ilvl="1" w:tplc="080A0003" w:tentative="1">
      <w:start w:val="1"/>
      <w:numFmt w:val="bullet"/>
      <w:lvlText w:val="o"/>
      <w:lvlJc w:val="left"/>
      <w:pPr>
        <w:ind w:left="1940" w:hanging="360"/>
      </w:pPr>
      <w:rPr>
        <w:rFonts w:ascii="Courier New" w:hAnsi="Courier New" w:cs="Courier New" w:hint="default"/>
      </w:rPr>
    </w:lvl>
    <w:lvl w:ilvl="2" w:tplc="080A0005" w:tentative="1">
      <w:start w:val="1"/>
      <w:numFmt w:val="bullet"/>
      <w:lvlText w:val=""/>
      <w:lvlJc w:val="left"/>
      <w:pPr>
        <w:ind w:left="2660" w:hanging="360"/>
      </w:pPr>
      <w:rPr>
        <w:rFonts w:ascii="Wingdings" w:hAnsi="Wingdings" w:hint="default"/>
      </w:rPr>
    </w:lvl>
    <w:lvl w:ilvl="3" w:tplc="080A0001" w:tentative="1">
      <w:start w:val="1"/>
      <w:numFmt w:val="bullet"/>
      <w:lvlText w:val=""/>
      <w:lvlJc w:val="left"/>
      <w:pPr>
        <w:ind w:left="3380" w:hanging="360"/>
      </w:pPr>
      <w:rPr>
        <w:rFonts w:ascii="Symbol" w:hAnsi="Symbol" w:hint="default"/>
      </w:rPr>
    </w:lvl>
    <w:lvl w:ilvl="4" w:tplc="080A0003" w:tentative="1">
      <w:start w:val="1"/>
      <w:numFmt w:val="bullet"/>
      <w:lvlText w:val="o"/>
      <w:lvlJc w:val="left"/>
      <w:pPr>
        <w:ind w:left="4100" w:hanging="360"/>
      </w:pPr>
      <w:rPr>
        <w:rFonts w:ascii="Courier New" w:hAnsi="Courier New" w:cs="Courier New" w:hint="default"/>
      </w:rPr>
    </w:lvl>
    <w:lvl w:ilvl="5" w:tplc="080A0005" w:tentative="1">
      <w:start w:val="1"/>
      <w:numFmt w:val="bullet"/>
      <w:lvlText w:val=""/>
      <w:lvlJc w:val="left"/>
      <w:pPr>
        <w:ind w:left="4820" w:hanging="360"/>
      </w:pPr>
      <w:rPr>
        <w:rFonts w:ascii="Wingdings" w:hAnsi="Wingdings" w:hint="default"/>
      </w:rPr>
    </w:lvl>
    <w:lvl w:ilvl="6" w:tplc="080A0001" w:tentative="1">
      <w:start w:val="1"/>
      <w:numFmt w:val="bullet"/>
      <w:lvlText w:val=""/>
      <w:lvlJc w:val="left"/>
      <w:pPr>
        <w:ind w:left="5540" w:hanging="360"/>
      </w:pPr>
      <w:rPr>
        <w:rFonts w:ascii="Symbol" w:hAnsi="Symbol" w:hint="default"/>
      </w:rPr>
    </w:lvl>
    <w:lvl w:ilvl="7" w:tplc="080A0003" w:tentative="1">
      <w:start w:val="1"/>
      <w:numFmt w:val="bullet"/>
      <w:lvlText w:val="o"/>
      <w:lvlJc w:val="left"/>
      <w:pPr>
        <w:ind w:left="6260" w:hanging="360"/>
      </w:pPr>
      <w:rPr>
        <w:rFonts w:ascii="Courier New" w:hAnsi="Courier New" w:cs="Courier New" w:hint="default"/>
      </w:rPr>
    </w:lvl>
    <w:lvl w:ilvl="8" w:tplc="080A0005" w:tentative="1">
      <w:start w:val="1"/>
      <w:numFmt w:val="bullet"/>
      <w:lvlText w:val=""/>
      <w:lvlJc w:val="left"/>
      <w:pPr>
        <w:ind w:left="6980" w:hanging="360"/>
      </w:pPr>
      <w:rPr>
        <w:rFonts w:ascii="Wingdings" w:hAnsi="Wingdings" w:hint="default"/>
      </w:rPr>
    </w:lvl>
  </w:abstractNum>
  <w:abstractNum w:abstractNumId="30" w15:restartNumberingAfterBreak="0">
    <w:nsid w:val="7E752976"/>
    <w:multiLevelType w:val="multilevel"/>
    <w:tmpl w:val="20A000E0"/>
    <w:lvl w:ilvl="0">
      <w:start w:val="1"/>
      <w:numFmt w:val="decimal"/>
      <w:lvlText w:val="%1."/>
      <w:lvlJc w:val="left"/>
      <w:pPr>
        <w:ind w:left="1440" w:hanging="360"/>
      </w:pPr>
      <w:rPr>
        <w:rFonts w:hint="default"/>
      </w:rPr>
    </w:lvl>
    <w:lvl w:ilvl="1">
      <w:start w:val="1"/>
      <w:numFmt w:val="decimal"/>
      <w:isLgl/>
      <w:lvlText w:val="%1.%2"/>
      <w:lvlJc w:val="left"/>
      <w:pPr>
        <w:ind w:left="180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2880" w:hanging="720"/>
      </w:pPr>
      <w:rPr>
        <w:rFonts w:hint="default"/>
      </w:rPr>
    </w:lvl>
    <w:lvl w:ilvl="4">
      <w:start w:val="1"/>
      <w:numFmt w:val="decimal"/>
      <w:isLgl/>
      <w:lvlText w:val="%1.%2.%3.%4.%5"/>
      <w:lvlJc w:val="left"/>
      <w:pPr>
        <w:ind w:left="3600" w:hanging="1080"/>
      </w:pPr>
      <w:rPr>
        <w:rFonts w:hint="default"/>
      </w:rPr>
    </w:lvl>
    <w:lvl w:ilvl="5">
      <w:start w:val="1"/>
      <w:numFmt w:val="decimal"/>
      <w:isLgl/>
      <w:lvlText w:val="%1.%2.%3.%4.%5.%6"/>
      <w:lvlJc w:val="left"/>
      <w:pPr>
        <w:ind w:left="3960" w:hanging="1080"/>
      </w:pPr>
      <w:rPr>
        <w:rFonts w:hint="default"/>
      </w:rPr>
    </w:lvl>
    <w:lvl w:ilvl="6">
      <w:start w:val="1"/>
      <w:numFmt w:val="decimal"/>
      <w:isLgl/>
      <w:lvlText w:val="%1.%2.%3.%4.%5.%6.%7"/>
      <w:lvlJc w:val="left"/>
      <w:pPr>
        <w:ind w:left="4680" w:hanging="1440"/>
      </w:pPr>
      <w:rPr>
        <w:rFonts w:hint="default"/>
      </w:rPr>
    </w:lvl>
    <w:lvl w:ilvl="7">
      <w:start w:val="1"/>
      <w:numFmt w:val="decimal"/>
      <w:isLgl/>
      <w:lvlText w:val="%1.%2.%3.%4.%5.%6.%7.%8"/>
      <w:lvlJc w:val="left"/>
      <w:pPr>
        <w:ind w:left="5040" w:hanging="1440"/>
      </w:pPr>
      <w:rPr>
        <w:rFonts w:hint="default"/>
      </w:rPr>
    </w:lvl>
    <w:lvl w:ilvl="8">
      <w:start w:val="1"/>
      <w:numFmt w:val="decimal"/>
      <w:isLgl/>
      <w:lvlText w:val="%1.%2.%3.%4.%5.%6.%7.%8.%9"/>
      <w:lvlJc w:val="left"/>
      <w:pPr>
        <w:ind w:left="5760" w:hanging="1800"/>
      </w:pPr>
      <w:rPr>
        <w:rFonts w:hint="default"/>
      </w:rPr>
    </w:lvl>
  </w:abstractNum>
  <w:abstractNum w:abstractNumId="31" w15:restartNumberingAfterBreak="0">
    <w:nsid w:val="7F9A06A7"/>
    <w:multiLevelType w:val="hybridMultilevel"/>
    <w:tmpl w:val="2D44DD12"/>
    <w:lvl w:ilvl="0" w:tplc="EE1425F2">
      <w:start w:val="5"/>
      <w:numFmt w:val="decimal"/>
      <w:lvlText w:val="%1."/>
      <w:lvlJc w:val="left"/>
      <w:pPr>
        <w:ind w:left="720" w:hanging="360"/>
      </w:pPr>
      <w:rPr>
        <w:rFonts w:eastAsia="Leelawadee"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19"/>
  </w:num>
  <w:num w:numId="2">
    <w:abstractNumId w:val="13"/>
  </w:num>
  <w:num w:numId="3">
    <w:abstractNumId w:val="11"/>
  </w:num>
  <w:num w:numId="4">
    <w:abstractNumId w:val="14"/>
  </w:num>
  <w:num w:numId="5">
    <w:abstractNumId w:val="28"/>
  </w:num>
  <w:num w:numId="6">
    <w:abstractNumId w:val="0"/>
  </w:num>
  <w:num w:numId="7">
    <w:abstractNumId w:val="2"/>
  </w:num>
  <w:num w:numId="8">
    <w:abstractNumId w:val="29"/>
  </w:num>
  <w:num w:numId="9">
    <w:abstractNumId w:val="27"/>
  </w:num>
  <w:num w:numId="10">
    <w:abstractNumId w:val="9"/>
  </w:num>
  <w:num w:numId="11">
    <w:abstractNumId w:val="24"/>
  </w:num>
  <w:num w:numId="12">
    <w:abstractNumId w:val="3"/>
  </w:num>
  <w:num w:numId="13">
    <w:abstractNumId w:val="12"/>
  </w:num>
  <w:num w:numId="14">
    <w:abstractNumId w:val="8"/>
  </w:num>
  <w:num w:numId="15">
    <w:abstractNumId w:val="5"/>
  </w:num>
  <w:num w:numId="16">
    <w:abstractNumId w:val="31"/>
  </w:num>
  <w:num w:numId="17">
    <w:abstractNumId w:val="26"/>
  </w:num>
  <w:num w:numId="18">
    <w:abstractNumId w:val="20"/>
  </w:num>
  <w:num w:numId="19">
    <w:abstractNumId w:val="21"/>
  </w:num>
  <w:num w:numId="20">
    <w:abstractNumId w:val="23"/>
  </w:num>
  <w:num w:numId="21">
    <w:abstractNumId w:val="6"/>
  </w:num>
  <w:num w:numId="22">
    <w:abstractNumId w:val="1"/>
  </w:num>
  <w:num w:numId="23">
    <w:abstractNumId w:val="17"/>
  </w:num>
  <w:num w:numId="24">
    <w:abstractNumId w:val="4"/>
  </w:num>
  <w:num w:numId="25">
    <w:abstractNumId w:val="15"/>
  </w:num>
  <w:num w:numId="26">
    <w:abstractNumId w:val="30"/>
  </w:num>
  <w:num w:numId="27">
    <w:abstractNumId w:val="22"/>
  </w:num>
  <w:num w:numId="28">
    <w:abstractNumId w:val="16"/>
  </w:num>
  <w:num w:numId="29">
    <w:abstractNumId w:val="7"/>
  </w:num>
  <w:num w:numId="30">
    <w:abstractNumId w:val="18"/>
  </w:num>
  <w:num w:numId="31">
    <w:abstractNumId w:val="10"/>
  </w:num>
  <w:num w:numId="32">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2116"/>
    <w:rsid w:val="00013E52"/>
    <w:rsid w:val="000275C4"/>
    <w:rsid w:val="00031297"/>
    <w:rsid w:val="000424CF"/>
    <w:rsid w:val="00047B75"/>
    <w:rsid w:val="00051198"/>
    <w:rsid w:val="0006206A"/>
    <w:rsid w:val="00066263"/>
    <w:rsid w:val="00074026"/>
    <w:rsid w:val="000757FB"/>
    <w:rsid w:val="00094F39"/>
    <w:rsid w:val="0009544A"/>
    <w:rsid w:val="000B6514"/>
    <w:rsid w:val="000B65EB"/>
    <w:rsid w:val="000B6E0F"/>
    <w:rsid w:val="000D6376"/>
    <w:rsid w:val="001353DF"/>
    <w:rsid w:val="00150CEB"/>
    <w:rsid w:val="0017611E"/>
    <w:rsid w:val="0019138E"/>
    <w:rsid w:val="001A2F1C"/>
    <w:rsid w:val="001A43F7"/>
    <w:rsid w:val="001A5657"/>
    <w:rsid w:val="001A56E8"/>
    <w:rsid w:val="001D7F5D"/>
    <w:rsid w:val="001E2116"/>
    <w:rsid w:val="001E4DF2"/>
    <w:rsid w:val="001F1529"/>
    <w:rsid w:val="001F6BB6"/>
    <w:rsid w:val="001F7E10"/>
    <w:rsid w:val="0021493C"/>
    <w:rsid w:val="00230B91"/>
    <w:rsid w:val="00267A66"/>
    <w:rsid w:val="00293F82"/>
    <w:rsid w:val="002A3397"/>
    <w:rsid w:val="002B495B"/>
    <w:rsid w:val="002C63C7"/>
    <w:rsid w:val="002D5626"/>
    <w:rsid w:val="002E1106"/>
    <w:rsid w:val="002F53F0"/>
    <w:rsid w:val="002F6DDF"/>
    <w:rsid w:val="003017E1"/>
    <w:rsid w:val="00315CEC"/>
    <w:rsid w:val="00316BA8"/>
    <w:rsid w:val="003239CE"/>
    <w:rsid w:val="0033639D"/>
    <w:rsid w:val="003423DE"/>
    <w:rsid w:val="00353E8D"/>
    <w:rsid w:val="00361BBC"/>
    <w:rsid w:val="00364721"/>
    <w:rsid w:val="00366B06"/>
    <w:rsid w:val="00370729"/>
    <w:rsid w:val="003717C5"/>
    <w:rsid w:val="00380AAD"/>
    <w:rsid w:val="003844A6"/>
    <w:rsid w:val="003A419B"/>
    <w:rsid w:val="003D0E2A"/>
    <w:rsid w:val="003F5749"/>
    <w:rsid w:val="00402A7F"/>
    <w:rsid w:val="004178C5"/>
    <w:rsid w:val="00420378"/>
    <w:rsid w:val="00432C74"/>
    <w:rsid w:val="00436303"/>
    <w:rsid w:val="0043638B"/>
    <w:rsid w:val="00450962"/>
    <w:rsid w:val="00454E82"/>
    <w:rsid w:val="00471667"/>
    <w:rsid w:val="00490C56"/>
    <w:rsid w:val="00496E58"/>
    <w:rsid w:val="004B2BD6"/>
    <w:rsid w:val="004B5D0E"/>
    <w:rsid w:val="004D7E0C"/>
    <w:rsid w:val="00512A63"/>
    <w:rsid w:val="005373F4"/>
    <w:rsid w:val="005379C4"/>
    <w:rsid w:val="005419AC"/>
    <w:rsid w:val="00583FBC"/>
    <w:rsid w:val="0059084A"/>
    <w:rsid w:val="005B03E7"/>
    <w:rsid w:val="005B64CB"/>
    <w:rsid w:val="005E53AC"/>
    <w:rsid w:val="005F54AE"/>
    <w:rsid w:val="00632C12"/>
    <w:rsid w:val="00634262"/>
    <w:rsid w:val="00642CF4"/>
    <w:rsid w:val="00644611"/>
    <w:rsid w:val="00653028"/>
    <w:rsid w:val="00677B11"/>
    <w:rsid w:val="006A0DB2"/>
    <w:rsid w:val="006A2F93"/>
    <w:rsid w:val="006A387F"/>
    <w:rsid w:val="006F338A"/>
    <w:rsid w:val="0072376E"/>
    <w:rsid w:val="007357DC"/>
    <w:rsid w:val="007543FD"/>
    <w:rsid w:val="00756FF2"/>
    <w:rsid w:val="0076412E"/>
    <w:rsid w:val="0077682E"/>
    <w:rsid w:val="00784749"/>
    <w:rsid w:val="0079110F"/>
    <w:rsid w:val="0079385C"/>
    <w:rsid w:val="007970EA"/>
    <w:rsid w:val="007A2661"/>
    <w:rsid w:val="007C14F4"/>
    <w:rsid w:val="007C1D0F"/>
    <w:rsid w:val="00805E8F"/>
    <w:rsid w:val="00811E04"/>
    <w:rsid w:val="0081552D"/>
    <w:rsid w:val="00824C88"/>
    <w:rsid w:val="00831442"/>
    <w:rsid w:val="00831FAC"/>
    <w:rsid w:val="00834DD9"/>
    <w:rsid w:val="00847577"/>
    <w:rsid w:val="00876927"/>
    <w:rsid w:val="008778C7"/>
    <w:rsid w:val="00885B98"/>
    <w:rsid w:val="008A3B49"/>
    <w:rsid w:val="008D2700"/>
    <w:rsid w:val="00902E36"/>
    <w:rsid w:val="009210E6"/>
    <w:rsid w:val="00923158"/>
    <w:rsid w:val="009321CA"/>
    <w:rsid w:val="00956DC6"/>
    <w:rsid w:val="0096590C"/>
    <w:rsid w:val="00971769"/>
    <w:rsid w:val="009718A0"/>
    <w:rsid w:val="0097374D"/>
    <w:rsid w:val="00974A2C"/>
    <w:rsid w:val="00986683"/>
    <w:rsid w:val="009A3432"/>
    <w:rsid w:val="009A3F20"/>
    <w:rsid w:val="009A53CD"/>
    <w:rsid w:val="009B25C6"/>
    <w:rsid w:val="009B2E95"/>
    <w:rsid w:val="009B47A7"/>
    <w:rsid w:val="009B5C99"/>
    <w:rsid w:val="009D3D85"/>
    <w:rsid w:val="009E5054"/>
    <w:rsid w:val="009E50A6"/>
    <w:rsid w:val="009E7DC7"/>
    <w:rsid w:val="009F50AB"/>
    <w:rsid w:val="00A1369A"/>
    <w:rsid w:val="00A26E13"/>
    <w:rsid w:val="00A43735"/>
    <w:rsid w:val="00A84A8A"/>
    <w:rsid w:val="00AD1F56"/>
    <w:rsid w:val="00B06216"/>
    <w:rsid w:val="00B11B0A"/>
    <w:rsid w:val="00B15D02"/>
    <w:rsid w:val="00B2662A"/>
    <w:rsid w:val="00B30B90"/>
    <w:rsid w:val="00B34DDE"/>
    <w:rsid w:val="00B35627"/>
    <w:rsid w:val="00B36339"/>
    <w:rsid w:val="00B44C2B"/>
    <w:rsid w:val="00B4683E"/>
    <w:rsid w:val="00B516C6"/>
    <w:rsid w:val="00B7249A"/>
    <w:rsid w:val="00BA1EAD"/>
    <w:rsid w:val="00BA2A4F"/>
    <w:rsid w:val="00BA5DB0"/>
    <w:rsid w:val="00BB0ABD"/>
    <w:rsid w:val="00BB4977"/>
    <w:rsid w:val="00BC2AC7"/>
    <w:rsid w:val="00BD5920"/>
    <w:rsid w:val="00BE40F9"/>
    <w:rsid w:val="00BE42C1"/>
    <w:rsid w:val="00BE6844"/>
    <w:rsid w:val="00C119C2"/>
    <w:rsid w:val="00C51D50"/>
    <w:rsid w:val="00C53760"/>
    <w:rsid w:val="00CA00C3"/>
    <w:rsid w:val="00CA7F8A"/>
    <w:rsid w:val="00CD539E"/>
    <w:rsid w:val="00CD7A28"/>
    <w:rsid w:val="00CF7BC7"/>
    <w:rsid w:val="00D00B17"/>
    <w:rsid w:val="00D1025A"/>
    <w:rsid w:val="00D16C36"/>
    <w:rsid w:val="00D54C69"/>
    <w:rsid w:val="00D67A43"/>
    <w:rsid w:val="00D753B2"/>
    <w:rsid w:val="00DA0F1A"/>
    <w:rsid w:val="00DB200F"/>
    <w:rsid w:val="00DD49FF"/>
    <w:rsid w:val="00DE3E42"/>
    <w:rsid w:val="00DF0249"/>
    <w:rsid w:val="00E061F0"/>
    <w:rsid w:val="00E159ED"/>
    <w:rsid w:val="00E27954"/>
    <w:rsid w:val="00E477E3"/>
    <w:rsid w:val="00E5164A"/>
    <w:rsid w:val="00E516F7"/>
    <w:rsid w:val="00E64447"/>
    <w:rsid w:val="00EC211A"/>
    <w:rsid w:val="00EC2C06"/>
    <w:rsid w:val="00EE0C23"/>
    <w:rsid w:val="00EE7EC8"/>
    <w:rsid w:val="00EF63FE"/>
    <w:rsid w:val="00F042A0"/>
    <w:rsid w:val="00F06B51"/>
    <w:rsid w:val="00F20D7A"/>
    <w:rsid w:val="00F21F03"/>
    <w:rsid w:val="00F2383F"/>
    <w:rsid w:val="00F25146"/>
    <w:rsid w:val="00F25CA9"/>
    <w:rsid w:val="00F33456"/>
    <w:rsid w:val="00F334BF"/>
    <w:rsid w:val="00F400AF"/>
    <w:rsid w:val="00F6272F"/>
    <w:rsid w:val="00F66850"/>
    <w:rsid w:val="00F712F2"/>
    <w:rsid w:val="00F82C64"/>
    <w:rsid w:val="00F83757"/>
    <w:rsid w:val="00F87918"/>
    <w:rsid w:val="00FA2309"/>
    <w:rsid w:val="00FD4A11"/>
    <w:rsid w:val="00FD53D5"/>
    <w:rsid w:val="00FF082F"/>
    <w:rsid w:val="00FF380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4AA2F4D3"/>
  <w15:docId w15:val="{39D232AA-02DE-5648-A05D-609E0D16B2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s" w:eastAsia="es-MX"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543FD"/>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w:type="paragraph" w:styleId="Encabezado">
    <w:name w:val="header"/>
    <w:basedOn w:val="Normal"/>
    <w:link w:val="EncabezadoCar"/>
    <w:uiPriority w:val="99"/>
    <w:unhideWhenUsed/>
    <w:rsid w:val="008A3B49"/>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8A3B49"/>
  </w:style>
  <w:style w:type="paragraph" w:styleId="Piedepgina">
    <w:name w:val="footer"/>
    <w:basedOn w:val="Normal"/>
    <w:link w:val="PiedepginaCar"/>
    <w:uiPriority w:val="99"/>
    <w:unhideWhenUsed/>
    <w:rsid w:val="008A3B49"/>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8A3B49"/>
  </w:style>
  <w:style w:type="paragraph" w:styleId="Prrafodelista">
    <w:name w:val="List Paragraph"/>
    <w:basedOn w:val="Normal"/>
    <w:uiPriority w:val="34"/>
    <w:qFormat/>
    <w:rsid w:val="00D00B17"/>
    <w:pPr>
      <w:ind w:left="720"/>
      <w:contextualSpacing/>
    </w:pPr>
  </w:style>
  <w:style w:type="paragraph" w:styleId="Textodeglobo">
    <w:name w:val="Balloon Text"/>
    <w:basedOn w:val="Normal"/>
    <w:link w:val="TextodegloboCar"/>
    <w:uiPriority w:val="99"/>
    <w:semiHidden/>
    <w:unhideWhenUsed/>
    <w:rsid w:val="00D00B17"/>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00B17"/>
    <w:rPr>
      <w:rFonts w:ascii="Segoe UI" w:hAnsi="Segoe UI" w:cs="Segoe UI"/>
      <w:sz w:val="18"/>
      <w:szCs w:val="18"/>
    </w:rPr>
  </w:style>
  <w:style w:type="paragraph" w:styleId="Sinespaciado">
    <w:name w:val="No Spacing"/>
    <w:link w:val="SinespaciadoCar"/>
    <w:uiPriority w:val="1"/>
    <w:qFormat/>
    <w:rsid w:val="00DE3E42"/>
    <w:pPr>
      <w:spacing w:line="240" w:lineRule="auto"/>
    </w:pPr>
    <w:rPr>
      <w:lang w:eastAsia="es-419"/>
    </w:rPr>
  </w:style>
  <w:style w:type="paragraph" w:customStyle="1" w:styleId="CuerpoA">
    <w:name w:val="Cuerpo A"/>
    <w:rsid w:val="00DE3E42"/>
    <w:pPr>
      <w:spacing w:line="240" w:lineRule="auto"/>
    </w:pPr>
    <w:rPr>
      <w:rFonts w:ascii="Times New Roman" w:eastAsia="Arial Unicode MS" w:hAnsi="Arial Unicode MS" w:cs="Arial Unicode MS"/>
      <w:color w:val="000000"/>
      <w:sz w:val="20"/>
      <w:szCs w:val="20"/>
      <w:u w:color="000000"/>
      <w:lang w:val="es-ES_tradnl" w:eastAsia="es-ES"/>
    </w:rPr>
  </w:style>
  <w:style w:type="character" w:styleId="Hipervnculo">
    <w:name w:val="Hyperlink"/>
    <w:basedOn w:val="Fuentedeprrafopredeter"/>
    <w:uiPriority w:val="99"/>
    <w:unhideWhenUsed/>
    <w:rsid w:val="00DE3E42"/>
    <w:rPr>
      <w:color w:val="0000FF" w:themeColor="hyperlink"/>
      <w:u w:val="single"/>
    </w:rPr>
  </w:style>
  <w:style w:type="paragraph" w:styleId="Textoindependiente">
    <w:name w:val="Body Text"/>
    <w:basedOn w:val="Normal"/>
    <w:link w:val="TextoindependienteCar"/>
    <w:uiPriority w:val="1"/>
    <w:qFormat/>
    <w:rsid w:val="00DE3E42"/>
    <w:pPr>
      <w:widowControl w:val="0"/>
      <w:autoSpaceDE w:val="0"/>
      <w:autoSpaceDN w:val="0"/>
      <w:spacing w:line="240" w:lineRule="auto"/>
    </w:pPr>
    <w:rPr>
      <w:rFonts w:ascii="Verdana" w:eastAsia="Verdana" w:hAnsi="Verdana" w:cs="Verdana"/>
      <w:b/>
      <w:bCs/>
      <w:sz w:val="24"/>
      <w:szCs w:val="24"/>
      <w:lang w:val="pt-PT" w:eastAsia="en-US"/>
    </w:rPr>
  </w:style>
  <w:style w:type="character" w:customStyle="1" w:styleId="TextoindependienteCar">
    <w:name w:val="Texto independiente Car"/>
    <w:basedOn w:val="Fuentedeprrafopredeter"/>
    <w:link w:val="Textoindependiente"/>
    <w:uiPriority w:val="1"/>
    <w:rsid w:val="00DE3E42"/>
    <w:rPr>
      <w:rFonts w:ascii="Verdana" w:eastAsia="Verdana" w:hAnsi="Verdana" w:cs="Verdana"/>
      <w:b/>
      <w:bCs/>
      <w:sz w:val="24"/>
      <w:szCs w:val="24"/>
      <w:lang w:val="pt-PT" w:eastAsia="en-US"/>
    </w:rPr>
  </w:style>
  <w:style w:type="character" w:customStyle="1" w:styleId="Mencinsinresolver1">
    <w:name w:val="Mención sin resolver1"/>
    <w:basedOn w:val="Fuentedeprrafopredeter"/>
    <w:uiPriority w:val="99"/>
    <w:semiHidden/>
    <w:unhideWhenUsed/>
    <w:rsid w:val="0019138E"/>
    <w:rPr>
      <w:color w:val="605E5C"/>
      <w:shd w:val="clear" w:color="auto" w:fill="E1DFDD"/>
    </w:rPr>
  </w:style>
  <w:style w:type="paragraph" w:customStyle="1" w:styleId="Normal0">
    <w:name w:val="Normal0"/>
    <w:qFormat/>
    <w:rsid w:val="006A2F93"/>
    <w:rPr>
      <w:lang w:val="es-ES" w:eastAsia="es-CO"/>
    </w:rPr>
  </w:style>
  <w:style w:type="character" w:customStyle="1" w:styleId="UnresolvedMention">
    <w:name w:val="Unresolved Mention"/>
    <w:basedOn w:val="Fuentedeprrafopredeter"/>
    <w:uiPriority w:val="99"/>
    <w:semiHidden/>
    <w:unhideWhenUsed/>
    <w:rsid w:val="00230B91"/>
    <w:rPr>
      <w:color w:val="605E5C"/>
      <w:shd w:val="clear" w:color="auto" w:fill="E1DFDD"/>
    </w:rPr>
  </w:style>
  <w:style w:type="table" w:styleId="Tablaconcuadrcula">
    <w:name w:val="Table Grid"/>
    <w:basedOn w:val="Tablanormal"/>
    <w:uiPriority w:val="39"/>
    <w:rsid w:val="00956DC6"/>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inespaciadoCar">
    <w:name w:val="Sin espaciado Car"/>
    <w:link w:val="Sinespaciado"/>
    <w:uiPriority w:val="1"/>
    <w:rsid w:val="00876927"/>
    <w:rPr>
      <w:lang w:eastAsia="es-419"/>
    </w:rPr>
  </w:style>
  <w:style w:type="character" w:styleId="Refdenotaalpie">
    <w:name w:val="footnote reference"/>
    <w:basedOn w:val="Fuentedeprrafopredeter"/>
    <w:uiPriority w:val="99"/>
    <w:semiHidden/>
    <w:unhideWhenUsed/>
    <w:qFormat/>
    <w:rsid w:val="00986683"/>
    <w:rPr>
      <w:vertAlign w:val="superscript"/>
    </w:rPr>
  </w:style>
  <w:style w:type="character" w:styleId="Textoennegrita">
    <w:name w:val="Strong"/>
    <w:basedOn w:val="Fuentedeprrafopredeter"/>
    <w:uiPriority w:val="22"/>
    <w:qFormat/>
    <w:rsid w:val="00986683"/>
    <w:rPr>
      <w:b/>
      <w:bCs/>
    </w:rPr>
  </w:style>
  <w:style w:type="paragraph" w:styleId="Textonotapie">
    <w:name w:val="footnote text"/>
    <w:basedOn w:val="Normal"/>
    <w:link w:val="TextonotapieCar"/>
    <w:uiPriority w:val="99"/>
    <w:semiHidden/>
    <w:unhideWhenUsed/>
    <w:qFormat/>
    <w:rsid w:val="00986683"/>
    <w:pPr>
      <w:spacing w:line="240" w:lineRule="auto"/>
    </w:pPr>
    <w:rPr>
      <w:rFonts w:ascii="Calibri" w:eastAsia="Calibri" w:hAnsi="Calibri" w:cs="Calibri"/>
      <w:sz w:val="20"/>
      <w:szCs w:val="20"/>
      <w:lang w:val="es-CO"/>
    </w:rPr>
  </w:style>
  <w:style w:type="character" w:customStyle="1" w:styleId="TextonotapieCar">
    <w:name w:val="Texto nota pie Car"/>
    <w:basedOn w:val="Fuentedeprrafopredeter"/>
    <w:link w:val="Textonotapie"/>
    <w:uiPriority w:val="99"/>
    <w:semiHidden/>
    <w:qFormat/>
    <w:rsid w:val="00986683"/>
    <w:rPr>
      <w:rFonts w:ascii="Calibri" w:eastAsia="Calibri" w:hAnsi="Calibri" w:cs="Calibri"/>
      <w:sz w:val="20"/>
      <w:szCs w:val="20"/>
      <w:lang w:val="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9317011">
      <w:bodyDiv w:val="1"/>
      <w:marLeft w:val="0"/>
      <w:marRight w:val="0"/>
      <w:marTop w:val="0"/>
      <w:marBottom w:val="0"/>
      <w:divBdr>
        <w:top w:val="none" w:sz="0" w:space="0" w:color="auto"/>
        <w:left w:val="none" w:sz="0" w:space="0" w:color="auto"/>
        <w:bottom w:val="none" w:sz="0" w:space="0" w:color="auto"/>
        <w:right w:val="none" w:sz="0" w:space="0" w:color="auto"/>
      </w:divBdr>
    </w:div>
    <w:div w:id="258487146">
      <w:bodyDiv w:val="1"/>
      <w:marLeft w:val="0"/>
      <w:marRight w:val="0"/>
      <w:marTop w:val="0"/>
      <w:marBottom w:val="0"/>
      <w:divBdr>
        <w:top w:val="none" w:sz="0" w:space="0" w:color="auto"/>
        <w:left w:val="none" w:sz="0" w:space="0" w:color="auto"/>
        <w:bottom w:val="none" w:sz="0" w:space="0" w:color="auto"/>
        <w:right w:val="none" w:sz="0" w:space="0" w:color="auto"/>
      </w:divBdr>
    </w:div>
    <w:div w:id="1503547648">
      <w:bodyDiv w:val="1"/>
      <w:marLeft w:val="0"/>
      <w:marRight w:val="0"/>
      <w:marTop w:val="0"/>
      <w:marBottom w:val="0"/>
      <w:divBdr>
        <w:top w:val="none" w:sz="0" w:space="0" w:color="auto"/>
        <w:left w:val="none" w:sz="0" w:space="0" w:color="auto"/>
        <w:bottom w:val="none" w:sz="0" w:space="0" w:color="auto"/>
        <w:right w:val="none" w:sz="0" w:space="0" w:color="auto"/>
      </w:divBdr>
    </w:div>
    <w:div w:id="17102559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www.secretariasenado.gov.co/senado/basedoc/ley_0065_1993.html"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scj.gov.co/es/transparencia/marco-legal/normatividad/resoluci%C3%B3n-6349-2016" TargetMode="Externa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7.jpg"/></Relationships>
</file>

<file path=word/_rels/header1.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933AF3-6D17-4745-AE29-E9C6C66DD3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3944</Words>
  <Characters>21695</Characters>
  <Application>Microsoft Office Word</Application>
  <DocSecurity>0</DocSecurity>
  <Lines>180</Lines>
  <Paragraphs>51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Elsa Ortega Sanchez UTL</dc:creator>
  <cp:lastModifiedBy>Honey Dear Paola Sandoval Flores</cp:lastModifiedBy>
  <cp:revision>2</cp:revision>
  <cp:lastPrinted>2025-05-15T15:48:00Z</cp:lastPrinted>
  <dcterms:created xsi:type="dcterms:W3CDTF">2025-05-20T20:16:00Z</dcterms:created>
  <dcterms:modified xsi:type="dcterms:W3CDTF">2025-05-20T20:16:00Z</dcterms:modified>
</cp:coreProperties>
</file>